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45"/>
        <w:gridCol w:w="7687"/>
      </w:tblGrid>
      <w:tr w:rsidR="00F71EDF" w:rsidTr="005D4165">
        <w:tc>
          <w:tcPr>
            <w:tcW w:w="9832" w:type="dxa"/>
            <w:gridSpan w:val="2"/>
            <w:tcBorders>
              <w:top w:val="nil"/>
              <w:left w:val="nil"/>
              <w:right w:val="nil"/>
            </w:tcBorders>
          </w:tcPr>
          <w:p w:rsidR="00245D8E" w:rsidRPr="00A8771C" w:rsidRDefault="0032653E" w:rsidP="005D4165">
            <w:pPr>
              <w:rPr>
                <w:rFonts w:ascii="Georgia" w:hAnsi="Georgia"/>
                <w:i/>
                <w:sz w:val="32"/>
                <w:szCs w:val="32"/>
              </w:rPr>
            </w:pPr>
            <w:r w:rsidRPr="0032653E">
              <w:rPr>
                <w:rFonts w:ascii="Georgia" w:hAnsi="Georgia"/>
                <w:i/>
                <w:sz w:val="32"/>
                <w:szCs w:val="32"/>
              </w:rPr>
              <w:t>Mary Ahea</w:t>
            </w:r>
            <w:r>
              <w:rPr>
                <w:rFonts w:ascii="Georgia" w:hAnsi="Georgia"/>
                <w:i/>
                <w:sz w:val="32"/>
                <w:szCs w:val="32"/>
              </w:rPr>
              <w:t>rn, CFP</w:t>
            </w:r>
            <w:r w:rsidRPr="0032653E">
              <w:rPr>
                <w:rFonts w:ascii="Georgia" w:hAnsi="Georgia"/>
                <w:i/>
                <w:sz w:val="32"/>
                <w:szCs w:val="32"/>
                <w:vertAlign w:val="superscript"/>
              </w:rPr>
              <w:t>®</w:t>
            </w:r>
            <w:r w:rsidR="00694929" w:rsidRPr="00A8771C">
              <w:rPr>
                <w:rFonts w:ascii="Georgia" w:hAnsi="Georgia"/>
                <w:i/>
                <w:sz w:val="32"/>
                <w:szCs w:val="32"/>
              </w:rPr>
              <w:t xml:space="preserve"> Presents:</w:t>
            </w:r>
          </w:p>
          <w:p w:rsidR="00245D8E" w:rsidRDefault="00694929" w:rsidP="005D4165">
            <w:pPr>
              <w:rPr>
                <w:rFonts w:ascii="Georgia" w:hAnsi="Georgia"/>
                <w:i/>
                <w:sz w:val="4"/>
              </w:rPr>
            </w:pPr>
          </w:p>
        </w:tc>
      </w:tr>
      <w:tr w:rsidR="00F71EDF" w:rsidTr="005D4165">
        <w:tc>
          <w:tcPr>
            <w:tcW w:w="9832" w:type="dxa"/>
            <w:gridSpan w:val="2"/>
            <w:shd w:val="clear" w:color="auto" w:fill="F3F3F3"/>
          </w:tcPr>
          <w:tbl>
            <w:tblPr>
              <w:tblW w:w="0" w:type="auto"/>
              <w:tblLayout w:type="fixed"/>
              <w:tblLook w:val="01E0" w:firstRow="1" w:lastRow="1" w:firstColumn="1" w:lastColumn="1" w:noHBand="0" w:noVBand="0"/>
            </w:tblPr>
            <w:tblGrid>
              <w:gridCol w:w="9542"/>
            </w:tblGrid>
            <w:tr w:rsidR="00F71EDF" w:rsidTr="005D4165">
              <w:trPr>
                <w:trHeight w:val="834"/>
              </w:trPr>
              <w:tc>
                <w:tcPr>
                  <w:tcW w:w="9542" w:type="dxa"/>
                  <w:vAlign w:val="center"/>
                </w:tcPr>
                <w:p w:rsidR="00245D8E" w:rsidRDefault="00694929" w:rsidP="005D4165">
                  <w:pPr>
                    <w:rPr>
                      <w:rFonts w:ascii="Georgia" w:hAnsi="Georgia"/>
                      <w:sz w:val="64"/>
                    </w:rPr>
                  </w:pPr>
                  <w:r>
                    <w:rPr>
                      <w:rFonts w:ascii="Georgia" w:hAnsi="Georgia"/>
                      <w:sz w:val="64"/>
                    </w:rPr>
                    <w:t>M</w:t>
                  </w:r>
                  <w:r>
                    <w:rPr>
                      <w:rFonts w:ascii="Georgia" w:hAnsi="Georgia"/>
                      <w:sz w:val="52"/>
                    </w:rPr>
                    <w:t>ONTHLY</w:t>
                  </w:r>
                  <w:r>
                    <w:rPr>
                      <w:rFonts w:ascii="Georgia" w:hAnsi="Georgia"/>
                      <w:sz w:val="64"/>
                    </w:rPr>
                    <w:t xml:space="preserve"> E</w:t>
                  </w:r>
                  <w:r>
                    <w:rPr>
                      <w:rFonts w:ascii="Georgia" w:hAnsi="Georgia"/>
                      <w:sz w:val="52"/>
                    </w:rPr>
                    <w:t>CONOMIC</w:t>
                  </w:r>
                  <w:r>
                    <w:rPr>
                      <w:rFonts w:ascii="Georgia" w:hAnsi="Georgia"/>
                      <w:sz w:val="64"/>
                    </w:rPr>
                    <w:t xml:space="preserve"> U</w:t>
                  </w:r>
                  <w:r>
                    <w:rPr>
                      <w:rFonts w:ascii="Georgia" w:hAnsi="Georgia"/>
                      <w:sz w:val="52"/>
                    </w:rPr>
                    <w:t>PDATE</w:t>
                  </w:r>
                </w:p>
              </w:tc>
            </w:tr>
          </w:tbl>
          <w:p w:rsidR="00245D8E" w:rsidRDefault="00694929" w:rsidP="005D4165">
            <w:pPr>
              <w:rPr>
                <w:rFonts w:ascii="Georgia" w:hAnsi="Georgia"/>
              </w:rPr>
            </w:pPr>
          </w:p>
        </w:tc>
      </w:tr>
      <w:tr w:rsidR="00F71EDF" w:rsidTr="005D4165">
        <w:tc>
          <w:tcPr>
            <w:tcW w:w="2145" w:type="dxa"/>
            <w:tcBorders>
              <w:bottom w:val="single" w:sz="4" w:space="0" w:color="C0C0C0"/>
            </w:tcBorders>
            <w:shd w:val="clear" w:color="auto" w:fill="F3F3F3"/>
          </w:tcPr>
          <w:p w:rsidR="00245D8E" w:rsidRDefault="00694929" w:rsidP="005D4165">
            <w:pPr>
              <w:rPr>
                <w:rFonts w:ascii="Georgia" w:hAnsi="Georgia"/>
                <w:color w:val="808080"/>
                <w:sz w:val="22"/>
              </w:rPr>
            </w:pPr>
          </w:p>
          <w:p w:rsidR="00245D8E" w:rsidRDefault="00694929" w:rsidP="005D4165">
            <w:pPr>
              <w:rPr>
                <w:rFonts w:ascii="Georgia" w:hAnsi="Georgia"/>
                <w:spacing w:val="-6"/>
                <w:sz w:val="4"/>
              </w:rPr>
            </w:pPr>
            <w:r>
              <w:rPr>
                <w:rFonts w:ascii="Georgia" w:hAnsi="Georgia"/>
                <w:color w:val="808080"/>
                <w:spacing w:val="-6"/>
                <w:sz w:val="22"/>
              </w:rPr>
              <w:t>MONTHLY QUOTE</w:t>
            </w:r>
          </w:p>
          <w:p w:rsidR="00245D8E" w:rsidRPr="001F0A03" w:rsidRDefault="00694929" w:rsidP="005D4165">
            <w:pPr>
              <w:rPr>
                <w:rFonts w:ascii="Georgia" w:hAnsi="Georgia"/>
                <w:sz w:val="2"/>
              </w:rPr>
            </w:pPr>
            <w:r>
              <w:rPr>
                <w:rFonts w:ascii="Georgia" w:hAnsi="Georgia"/>
                <w:sz w:val="2"/>
              </w:rPr>
              <w:t xml:space="preserve">  </w:t>
            </w:r>
          </w:p>
          <w:p w:rsidR="00245D8E" w:rsidRPr="00C52A65" w:rsidRDefault="00694929" w:rsidP="005D4165">
            <w:pPr>
              <w:rPr>
                <w:rFonts w:ascii="Georgia" w:hAnsi="Georgia"/>
                <w:sz w:val="4"/>
                <w:szCs w:val="4"/>
              </w:rPr>
            </w:pPr>
            <w:r w:rsidRPr="00C52A65">
              <w:rPr>
                <w:rFonts w:ascii="Georgia" w:hAnsi="Georgia"/>
                <w:sz w:val="20"/>
              </w:rPr>
              <w:t>“</w:t>
            </w:r>
            <w:r w:rsidRPr="00C52A65">
              <w:rPr>
                <w:rFonts w:ascii="Georgia" w:hAnsi="Georgia"/>
                <w:sz w:val="20"/>
              </w:rPr>
              <w:t>The optimist sees the rose and not its thorns; the pessimist stares at the thorns, oblivious of the rose</w:t>
            </w:r>
            <w:r w:rsidRPr="00C52A65">
              <w:rPr>
                <w:rFonts w:ascii="Georgia" w:hAnsi="Georgia"/>
                <w:sz w:val="20"/>
              </w:rPr>
              <w:t>.”</w:t>
            </w:r>
            <w:r w:rsidRPr="00C52A65">
              <w:rPr>
                <w:rFonts w:ascii="Georgia" w:hAnsi="Georgia"/>
                <w:sz w:val="20"/>
              </w:rPr>
              <w:br/>
            </w:r>
            <w:r w:rsidRPr="00C52A65">
              <w:rPr>
                <w:rFonts w:ascii="Georgia" w:hAnsi="Georgia"/>
                <w:sz w:val="4"/>
                <w:szCs w:val="4"/>
              </w:rPr>
              <w:t xml:space="preserve">     </w:t>
            </w:r>
          </w:p>
          <w:p w:rsidR="00245D8E" w:rsidRPr="00C52A65" w:rsidRDefault="00694929" w:rsidP="005D4165">
            <w:pPr>
              <w:rPr>
                <w:rFonts w:ascii="Georgia" w:hAnsi="Georgia"/>
                <w:sz w:val="20"/>
              </w:rPr>
            </w:pPr>
            <w:r w:rsidRPr="00C52A65">
              <w:rPr>
                <w:rFonts w:ascii="Georgia" w:hAnsi="Georgia"/>
                <w:i/>
                <w:sz w:val="20"/>
              </w:rPr>
              <w:t xml:space="preserve">- </w:t>
            </w:r>
            <w:r w:rsidRPr="00C52A65">
              <w:rPr>
                <w:rFonts w:ascii="Georgia" w:hAnsi="Georgia"/>
                <w:i/>
                <w:sz w:val="20"/>
              </w:rPr>
              <w:t>Kahlil</w:t>
            </w:r>
            <w:r w:rsidRPr="00C52A65">
              <w:rPr>
                <w:rFonts w:ascii="Georgia" w:hAnsi="Georgia"/>
                <w:i/>
                <w:sz w:val="20"/>
              </w:rPr>
              <w:t xml:space="preserve"> </w:t>
            </w:r>
            <w:r w:rsidRPr="00C52A65">
              <w:rPr>
                <w:rFonts w:ascii="Georgia" w:hAnsi="Georgia"/>
                <w:i/>
                <w:sz w:val="20"/>
              </w:rPr>
              <w:t>Gi</w:t>
            </w:r>
            <w:r w:rsidRPr="00C52A65">
              <w:rPr>
                <w:rFonts w:ascii="Georgia" w:hAnsi="Georgia"/>
                <w:i/>
                <w:sz w:val="20"/>
              </w:rPr>
              <w:t>b</w:t>
            </w:r>
            <w:r w:rsidRPr="00C52A65">
              <w:rPr>
                <w:rFonts w:ascii="Georgia" w:hAnsi="Georgia"/>
                <w:i/>
                <w:sz w:val="20"/>
              </w:rPr>
              <w:t>ran</w:t>
            </w:r>
          </w:p>
          <w:p w:rsidR="00245D8E" w:rsidRPr="004A52A4" w:rsidRDefault="00694929" w:rsidP="005D4165">
            <w:pPr>
              <w:rPr>
                <w:rFonts w:ascii="Georgia" w:hAnsi="Georgia"/>
                <w:i/>
                <w:sz w:val="18"/>
              </w:rPr>
            </w:pPr>
            <w:r w:rsidRPr="004A52A4">
              <w:rPr>
                <w:rFonts w:ascii="Georgia" w:hAnsi="Georgia"/>
                <w:i/>
                <w:sz w:val="18"/>
              </w:rPr>
              <w:t xml:space="preserve">  </w:t>
            </w:r>
          </w:p>
          <w:p w:rsidR="00245D8E" w:rsidRPr="00FD04E7" w:rsidRDefault="00694929" w:rsidP="005D4165">
            <w:pPr>
              <w:rPr>
                <w:rFonts w:ascii="Georgia" w:hAnsi="Georgia"/>
                <w:i/>
                <w:sz w:val="18"/>
              </w:rPr>
            </w:pPr>
            <w:r w:rsidRPr="004A52A4">
              <w:rPr>
                <w:rFonts w:ascii="Georgia" w:hAnsi="Georgia"/>
                <w:i/>
                <w:sz w:val="18"/>
              </w:rPr>
              <w:t xml:space="preserve">  </w:t>
            </w:r>
          </w:p>
          <w:p w:rsidR="00245D8E" w:rsidRDefault="00694929" w:rsidP="005D4165">
            <w:pPr>
              <w:rPr>
                <w:rFonts w:ascii="Georgia" w:hAnsi="Georgia"/>
                <w:color w:val="808080"/>
                <w:sz w:val="22"/>
              </w:rPr>
            </w:pPr>
            <w:r>
              <w:rPr>
                <w:rFonts w:ascii="Georgia" w:hAnsi="Georgia"/>
                <w:color w:val="808080"/>
                <w:sz w:val="22"/>
              </w:rPr>
              <w:t>MONTHLY TIP</w:t>
            </w:r>
          </w:p>
          <w:p w:rsidR="00245D8E" w:rsidRPr="00D67231" w:rsidRDefault="00694929" w:rsidP="005D4165">
            <w:pPr>
              <w:rPr>
                <w:rFonts w:ascii="Georgia" w:hAnsi="Georgia"/>
                <w:sz w:val="2"/>
              </w:rPr>
            </w:pPr>
            <w:r w:rsidRPr="00D67231">
              <w:rPr>
                <w:rFonts w:ascii="Georgia" w:hAnsi="Georgia"/>
                <w:sz w:val="2"/>
              </w:rPr>
              <w:t xml:space="preserve"> </w:t>
            </w:r>
          </w:p>
          <w:p w:rsidR="00245D8E" w:rsidRPr="00A37779" w:rsidRDefault="00694929" w:rsidP="005D4165">
            <w:pPr>
              <w:rPr>
                <w:rFonts w:ascii="Georgia" w:hAnsi="Georgia"/>
                <w:sz w:val="20"/>
                <w:szCs w:val="20"/>
              </w:rPr>
            </w:pPr>
            <w:r>
              <w:rPr>
                <w:rFonts w:ascii="Georgia" w:hAnsi="Georgia"/>
                <w:sz w:val="20"/>
                <w:szCs w:val="20"/>
              </w:rPr>
              <w:t>A</w:t>
            </w:r>
            <w:r w:rsidRPr="00A37779">
              <w:rPr>
                <w:rFonts w:ascii="Georgia" w:hAnsi="Georgia"/>
                <w:sz w:val="20"/>
                <w:szCs w:val="20"/>
              </w:rPr>
              <w:t xml:space="preserve">lmost all </w:t>
            </w:r>
            <w:r>
              <w:rPr>
                <w:rFonts w:ascii="Georgia" w:hAnsi="Georgia"/>
                <w:sz w:val="20"/>
                <w:szCs w:val="20"/>
              </w:rPr>
              <w:t xml:space="preserve">business </w:t>
            </w:r>
            <w:r w:rsidRPr="00A37779">
              <w:rPr>
                <w:rFonts w:ascii="Georgia" w:hAnsi="Georgia"/>
                <w:sz w:val="20"/>
                <w:szCs w:val="20"/>
              </w:rPr>
              <w:t xml:space="preserve">insurance policies require you to notify the insurer of an accident within 24 or 48 hours. Sometimes you can file the claim later, </w:t>
            </w:r>
            <w:r w:rsidRPr="00A37779">
              <w:rPr>
                <w:rFonts w:ascii="Georgia" w:hAnsi="Georgia"/>
                <w:sz w:val="20"/>
                <w:szCs w:val="20"/>
              </w:rPr>
              <w:t xml:space="preserve">but you must report </w:t>
            </w:r>
            <w:r w:rsidRPr="00A37779">
              <w:rPr>
                <w:rFonts w:ascii="Georgia" w:hAnsi="Georgia"/>
                <w:sz w:val="20"/>
                <w:szCs w:val="20"/>
              </w:rPr>
              <w:t xml:space="preserve">the </w:t>
            </w:r>
            <w:r>
              <w:rPr>
                <w:rFonts w:ascii="Georgia" w:hAnsi="Georgia"/>
                <w:sz w:val="20"/>
                <w:szCs w:val="20"/>
              </w:rPr>
              <w:t xml:space="preserve">incident </w:t>
            </w:r>
            <w:r w:rsidRPr="00A37779">
              <w:rPr>
                <w:rFonts w:ascii="Georgia" w:hAnsi="Georgia"/>
                <w:sz w:val="20"/>
                <w:szCs w:val="20"/>
              </w:rPr>
              <w:t>within the stated window of time</w:t>
            </w:r>
            <w:r>
              <w:rPr>
                <w:rFonts w:ascii="Georgia" w:hAnsi="Georgia"/>
                <w:sz w:val="20"/>
                <w:szCs w:val="20"/>
              </w:rPr>
              <w:t xml:space="preserve"> or risk forfeiting the right of recovery</w:t>
            </w:r>
            <w:r w:rsidRPr="00A37779">
              <w:rPr>
                <w:rFonts w:ascii="Georgia" w:hAnsi="Georgia"/>
                <w:sz w:val="20"/>
                <w:szCs w:val="20"/>
              </w:rPr>
              <w:t>.</w:t>
            </w:r>
          </w:p>
          <w:p w:rsidR="007B7680" w:rsidRPr="00F259EA" w:rsidRDefault="00694929" w:rsidP="005D4165">
            <w:pPr>
              <w:rPr>
                <w:rFonts w:ascii="Georgia" w:hAnsi="Georgia"/>
                <w:i/>
                <w:color w:val="0070C0"/>
                <w:sz w:val="18"/>
              </w:rPr>
            </w:pPr>
          </w:p>
          <w:p w:rsidR="00245D8E" w:rsidRDefault="00694929" w:rsidP="005D4165">
            <w:pPr>
              <w:rPr>
                <w:rFonts w:ascii="Georgia" w:hAnsi="Georgia"/>
                <w:i/>
                <w:sz w:val="18"/>
              </w:rPr>
            </w:pPr>
            <w:r>
              <w:rPr>
                <w:rFonts w:ascii="Georgia" w:hAnsi="Georgia"/>
                <w:i/>
                <w:sz w:val="18"/>
              </w:rPr>
              <w:t xml:space="preserve">   </w:t>
            </w:r>
          </w:p>
          <w:p w:rsidR="00245D8E" w:rsidRDefault="00694929" w:rsidP="005D4165">
            <w:pPr>
              <w:rPr>
                <w:rFonts w:ascii="Georgia" w:hAnsi="Georgia"/>
                <w:color w:val="808080"/>
                <w:spacing w:val="-14"/>
                <w:sz w:val="22"/>
              </w:rPr>
            </w:pPr>
            <w:r>
              <w:rPr>
                <w:rFonts w:ascii="Georgia" w:hAnsi="Georgia"/>
                <w:color w:val="808080"/>
                <w:spacing w:val="-14"/>
                <w:sz w:val="22"/>
              </w:rPr>
              <w:t>MONTHLY RIDDLE</w:t>
            </w:r>
          </w:p>
          <w:p w:rsidR="00245D8E" w:rsidRPr="00104F7C" w:rsidRDefault="00694929" w:rsidP="005D4165">
            <w:pPr>
              <w:rPr>
                <w:rFonts w:ascii="Georgia" w:hAnsi="Georgia"/>
                <w:sz w:val="20"/>
                <w:szCs w:val="20"/>
              </w:rPr>
            </w:pPr>
            <w:r w:rsidRPr="00104F7C">
              <w:rPr>
                <w:rFonts w:ascii="Georgia" w:hAnsi="Georgia"/>
                <w:sz w:val="20"/>
                <w:szCs w:val="20"/>
              </w:rPr>
              <w:t>Suzy and Ben</w:t>
            </w:r>
            <w:r w:rsidRPr="00104F7C">
              <w:rPr>
                <w:rFonts w:ascii="Georgia" w:hAnsi="Georgia"/>
                <w:sz w:val="20"/>
                <w:szCs w:val="20"/>
              </w:rPr>
              <w:t xml:space="preserve"> </w:t>
            </w:r>
            <w:r>
              <w:rPr>
                <w:rFonts w:ascii="Georgia" w:hAnsi="Georgia"/>
                <w:sz w:val="20"/>
                <w:szCs w:val="20"/>
              </w:rPr>
              <w:t xml:space="preserve">stand </w:t>
            </w:r>
            <w:r>
              <w:rPr>
                <w:rFonts w:ascii="Georgia" w:hAnsi="Georgia"/>
                <w:sz w:val="20"/>
                <w:szCs w:val="20"/>
              </w:rPr>
              <w:t>upon</w:t>
            </w:r>
            <w:r>
              <w:rPr>
                <w:rFonts w:ascii="Georgia" w:hAnsi="Georgia"/>
                <w:sz w:val="20"/>
                <w:szCs w:val="20"/>
              </w:rPr>
              <w:t xml:space="preserve"> </w:t>
            </w:r>
            <w:r>
              <w:rPr>
                <w:rFonts w:ascii="Georgia" w:hAnsi="Georgia"/>
                <w:sz w:val="20"/>
                <w:szCs w:val="20"/>
              </w:rPr>
              <w:t>a 2</w:t>
            </w:r>
            <w:r>
              <w:rPr>
                <w:rFonts w:ascii="Georgia" w:hAnsi="Georgia"/>
                <w:sz w:val="20"/>
                <w:szCs w:val="20"/>
              </w:rPr>
              <w:t>00-foot</w:t>
            </w:r>
            <w:r w:rsidRPr="00104F7C">
              <w:rPr>
                <w:rFonts w:ascii="Georgia" w:hAnsi="Georgia"/>
                <w:sz w:val="20"/>
                <w:szCs w:val="20"/>
              </w:rPr>
              <w:t xml:space="preserve"> </w:t>
            </w:r>
            <w:r>
              <w:rPr>
                <w:rFonts w:ascii="Georgia" w:hAnsi="Georgia"/>
                <w:sz w:val="20"/>
                <w:szCs w:val="20"/>
              </w:rPr>
              <w:t>cliff</w:t>
            </w:r>
            <w:r w:rsidRPr="00104F7C">
              <w:rPr>
                <w:rFonts w:ascii="Georgia" w:hAnsi="Georgia"/>
                <w:sz w:val="20"/>
                <w:szCs w:val="20"/>
              </w:rPr>
              <w:t xml:space="preserve">. </w:t>
            </w:r>
            <w:r>
              <w:rPr>
                <w:rFonts w:ascii="Georgia" w:hAnsi="Georgia"/>
                <w:sz w:val="20"/>
                <w:szCs w:val="20"/>
              </w:rPr>
              <w:t xml:space="preserve">They </w:t>
            </w:r>
            <w:r>
              <w:rPr>
                <w:rFonts w:ascii="Georgia" w:hAnsi="Georgia"/>
                <w:sz w:val="20"/>
                <w:szCs w:val="20"/>
              </w:rPr>
              <w:t xml:space="preserve">both </w:t>
            </w:r>
            <w:r>
              <w:rPr>
                <w:rFonts w:ascii="Georgia" w:hAnsi="Georgia"/>
                <w:sz w:val="20"/>
                <w:szCs w:val="20"/>
              </w:rPr>
              <w:t>slip down</w:t>
            </w:r>
            <w:r>
              <w:rPr>
                <w:rFonts w:ascii="Georgia" w:hAnsi="Georgia"/>
                <w:sz w:val="20"/>
                <w:szCs w:val="20"/>
              </w:rPr>
              <w:t xml:space="preserve"> </w:t>
            </w:r>
            <w:r w:rsidRPr="00104F7C">
              <w:rPr>
                <w:rFonts w:ascii="Georgia" w:hAnsi="Georgia"/>
                <w:sz w:val="20"/>
                <w:szCs w:val="20"/>
              </w:rPr>
              <w:t xml:space="preserve">the </w:t>
            </w:r>
            <w:r>
              <w:rPr>
                <w:rFonts w:ascii="Georgia" w:hAnsi="Georgia"/>
                <w:sz w:val="20"/>
                <w:szCs w:val="20"/>
              </w:rPr>
              <w:t>cliff</w:t>
            </w:r>
            <w:r>
              <w:rPr>
                <w:rFonts w:ascii="Georgia" w:hAnsi="Georgia"/>
                <w:sz w:val="20"/>
                <w:szCs w:val="20"/>
              </w:rPr>
              <w:t xml:space="preserve"> to the rocks bel</w:t>
            </w:r>
            <w:r>
              <w:rPr>
                <w:rFonts w:ascii="Georgia" w:hAnsi="Georgia"/>
                <w:sz w:val="20"/>
                <w:szCs w:val="20"/>
              </w:rPr>
              <w:t>o</w:t>
            </w:r>
            <w:r>
              <w:rPr>
                <w:rFonts w:ascii="Georgia" w:hAnsi="Georgia"/>
                <w:sz w:val="20"/>
                <w:szCs w:val="20"/>
              </w:rPr>
              <w:t>w</w:t>
            </w:r>
            <w:r w:rsidRPr="00104F7C">
              <w:rPr>
                <w:rFonts w:ascii="Georgia" w:hAnsi="Georgia"/>
                <w:sz w:val="20"/>
                <w:szCs w:val="20"/>
              </w:rPr>
              <w:t xml:space="preserve">, </w:t>
            </w:r>
            <w:r w:rsidRPr="00104F7C">
              <w:rPr>
                <w:rFonts w:ascii="Georgia" w:hAnsi="Georgia"/>
                <w:sz w:val="20"/>
                <w:szCs w:val="20"/>
              </w:rPr>
              <w:t xml:space="preserve">but </w:t>
            </w:r>
            <w:r>
              <w:rPr>
                <w:rFonts w:ascii="Georgia" w:hAnsi="Georgia"/>
                <w:sz w:val="20"/>
                <w:szCs w:val="20"/>
              </w:rPr>
              <w:t xml:space="preserve">they </w:t>
            </w:r>
            <w:r w:rsidRPr="00104F7C">
              <w:rPr>
                <w:rFonts w:ascii="Georgia" w:hAnsi="Georgia"/>
                <w:sz w:val="20"/>
                <w:szCs w:val="20"/>
              </w:rPr>
              <w:t>have dinner together</w:t>
            </w:r>
            <w:r w:rsidRPr="00104F7C">
              <w:rPr>
                <w:rFonts w:ascii="Georgia" w:hAnsi="Georgia"/>
                <w:sz w:val="20"/>
                <w:szCs w:val="20"/>
              </w:rPr>
              <w:t xml:space="preserve"> the next day</w:t>
            </w:r>
            <w:r w:rsidRPr="00104F7C">
              <w:rPr>
                <w:rFonts w:ascii="Georgia" w:hAnsi="Georgia"/>
                <w:sz w:val="20"/>
                <w:szCs w:val="20"/>
              </w:rPr>
              <w:t>. How can this be</w:t>
            </w:r>
            <w:r w:rsidRPr="00104F7C">
              <w:rPr>
                <w:rFonts w:ascii="Georgia" w:hAnsi="Georgia"/>
                <w:sz w:val="20"/>
                <w:szCs w:val="20"/>
              </w:rPr>
              <w:t>?</w:t>
            </w:r>
          </w:p>
          <w:p w:rsidR="00245D8E" w:rsidRPr="004E39D3" w:rsidRDefault="00694929" w:rsidP="005D4165">
            <w:pPr>
              <w:rPr>
                <w:rFonts w:ascii="Georgia" w:hAnsi="Georgia"/>
                <w:sz w:val="20"/>
                <w:szCs w:val="20"/>
              </w:rPr>
            </w:pPr>
            <w:r w:rsidRPr="004E39D3">
              <w:rPr>
                <w:rFonts w:ascii="Georgia" w:hAnsi="Georgia"/>
                <w:sz w:val="20"/>
                <w:szCs w:val="20"/>
              </w:rPr>
              <w:t xml:space="preserve">  </w:t>
            </w:r>
          </w:p>
          <w:p w:rsidR="00245D8E" w:rsidRPr="00A44D76" w:rsidRDefault="00694929" w:rsidP="005D4165">
            <w:pPr>
              <w:rPr>
                <w:rFonts w:ascii="Georgia" w:hAnsi="Georgia"/>
                <w:sz w:val="20"/>
                <w:szCs w:val="20"/>
              </w:rPr>
            </w:pPr>
            <w:r w:rsidRPr="00A44D76">
              <w:rPr>
                <w:rFonts w:ascii="Georgia" w:hAnsi="Georgia"/>
                <w:sz w:val="20"/>
                <w:szCs w:val="20"/>
              </w:rPr>
              <w:t xml:space="preserve">    </w:t>
            </w:r>
          </w:p>
          <w:p w:rsidR="00245D8E" w:rsidRPr="00A26F11" w:rsidRDefault="00694929" w:rsidP="005D4165">
            <w:pPr>
              <w:pStyle w:val="BodyText"/>
              <w:rPr>
                <w:color w:val="auto"/>
              </w:rPr>
            </w:pPr>
            <w:r>
              <w:rPr>
                <w:b/>
                <w:color w:val="999999"/>
                <w:sz w:val="18"/>
              </w:rPr>
              <w:t>Last month’s riddle:</w:t>
            </w:r>
            <w:r>
              <w:rPr>
                <w:color w:val="999999"/>
                <w:sz w:val="18"/>
              </w:rPr>
              <w:t xml:space="preserve"> </w:t>
            </w:r>
            <w:r>
              <w:rPr>
                <w:color w:val="999999"/>
                <w:sz w:val="18"/>
              </w:rPr>
              <w:br/>
            </w:r>
            <w:r w:rsidRPr="008B4F9C">
              <w:rPr>
                <w:color w:val="808080"/>
                <w:sz w:val="18"/>
                <w:szCs w:val="18"/>
              </w:rPr>
              <w:t xml:space="preserve">It will </w:t>
            </w:r>
            <w:r w:rsidRPr="008B4F9C">
              <w:rPr>
                <w:color w:val="808080"/>
                <w:sz w:val="18"/>
                <w:szCs w:val="18"/>
              </w:rPr>
              <w:t>let you enter, but not come in. It lets you create space, but it will never offer you a room. It has keys, but</w:t>
            </w:r>
            <w:r>
              <w:rPr>
                <w:color w:val="808080"/>
                <w:sz w:val="18"/>
                <w:szCs w:val="18"/>
              </w:rPr>
              <w:t xml:space="preserve"> they open no locks. What is it</w:t>
            </w:r>
            <w:r w:rsidRPr="00A54B69">
              <w:rPr>
                <w:color w:val="808080"/>
                <w:sz w:val="18"/>
                <w:szCs w:val="18"/>
              </w:rPr>
              <w:t>?</w:t>
            </w:r>
          </w:p>
          <w:p w:rsidR="00245D8E" w:rsidRDefault="00694929" w:rsidP="005D4165">
            <w:pPr>
              <w:rPr>
                <w:rFonts w:ascii="Georgia" w:hAnsi="Georgia"/>
                <w:color w:val="999999"/>
                <w:sz w:val="18"/>
              </w:rPr>
            </w:pPr>
            <w:r>
              <w:rPr>
                <w:rFonts w:ascii="Georgia" w:hAnsi="Georgia"/>
                <w:sz w:val="20"/>
              </w:rPr>
              <w:t xml:space="preserve"> </w:t>
            </w:r>
          </w:p>
          <w:p w:rsidR="00245D8E" w:rsidRDefault="00694929" w:rsidP="005D4165">
            <w:pPr>
              <w:rPr>
                <w:rFonts w:ascii="Georgia" w:hAnsi="Georgia"/>
                <w:color w:val="999999"/>
                <w:sz w:val="18"/>
              </w:rPr>
            </w:pPr>
            <w:r>
              <w:rPr>
                <w:rFonts w:ascii="Georgia" w:hAnsi="Georgia"/>
                <w:b/>
                <w:color w:val="999999"/>
                <w:spacing w:val="-2"/>
                <w:sz w:val="18"/>
              </w:rPr>
              <w:t>Last</w:t>
            </w:r>
            <w:r>
              <w:rPr>
                <w:rFonts w:ascii="Georgia" w:hAnsi="Georgia"/>
                <w:b/>
                <w:color w:val="999999"/>
                <w:spacing w:val="-2"/>
                <w:sz w:val="12"/>
              </w:rPr>
              <w:t> </w:t>
            </w:r>
            <w:r>
              <w:rPr>
                <w:rFonts w:ascii="Georgia" w:hAnsi="Georgia"/>
                <w:b/>
                <w:color w:val="999999"/>
                <w:spacing w:val="-2"/>
                <w:sz w:val="18"/>
              </w:rPr>
              <w:t>month’s</w:t>
            </w:r>
            <w:r>
              <w:rPr>
                <w:rFonts w:ascii="Georgia" w:hAnsi="Georgia"/>
                <w:b/>
                <w:color w:val="999999"/>
                <w:spacing w:val="-2"/>
                <w:sz w:val="12"/>
              </w:rPr>
              <w:t> </w:t>
            </w:r>
            <w:r>
              <w:rPr>
                <w:rFonts w:ascii="Georgia" w:hAnsi="Georgia"/>
                <w:b/>
                <w:color w:val="999999"/>
                <w:spacing w:val="-2"/>
                <w:sz w:val="18"/>
              </w:rPr>
              <w:t>answer:</w:t>
            </w:r>
          </w:p>
          <w:p w:rsidR="00245D8E" w:rsidRPr="002B613E" w:rsidRDefault="00694929" w:rsidP="005D4165">
            <w:pPr>
              <w:rPr>
                <w:rFonts w:ascii="Georgia" w:hAnsi="Georgia"/>
                <w:color w:val="808080"/>
                <w:sz w:val="18"/>
              </w:rPr>
            </w:pPr>
            <w:r>
              <w:rPr>
                <w:rFonts w:ascii="Georgia" w:hAnsi="Georgia"/>
                <w:color w:val="808080"/>
                <w:sz w:val="18"/>
              </w:rPr>
              <w:t>A computer</w:t>
            </w:r>
            <w:r>
              <w:rPr>
                <w:rFonts w:ascii="Georgia" w:hAnsi="Georgia"/>
                <w:color w:val="808080"/>
                <w:sz w:val="18"/>
              </w:rPr>
              <w:t>.</w:t>
            </w:r>
          </w:p>
        </w:tc>
        <w:tc>
          <w:tcPr>
            <w:tcW w:w="7687" w:type="dxa"/>
            <w:tcBorders>
              <w:bottom w:val="single" w:sz="4" w:space="0" w:color="C0C0C0"/>
            </w:tcBorders>
            <w:shd w:val="clear" w:color="auto" w:fill="FFFFFF"/>
          </w:tcPr>
          <w:p w:rsidR="00245D8E" w:rsidRDefault="00694929" w:rsidP="005D4165">
            <w:pPr>
              <w:jc w:val="right"/>
              <w:rPr>
                <w:rFonts w:ascii="Georgia" w:hAnsi="Georgia"/>
                <w:sz w:val="4"/>
              </w:rPr>
            </w:pPr>
          </w:p>
          <w:p w:rsidR="00245D8E" w:rsidRPr="00A47DE8" w:rsidRDefault="00694929" w:rsidP="005D4165">
            <w:pPr>
              <w:jc w:val="right"/>
              <w:rPr>
                <w:rFonts w:ascii="Georgia" w:hAnsi="Georgia"/>
                <w:b/>
              </w:rPr>
            </w:pPr>
            <w:r w:rsidRPr="00A47DE8">
              <w:rPr>
                <w:rFonts w:ascii="Georgia" w:hAnsi="Georgia"/>
                <w:sz w:val="20"/>
              </w:rPr>
              <w:t>January 2018</w:t>
            </w:r>
          </w:p>
          <w:p w:rsidR="00245D8E" w:rsidRPr="008B4F9C" w:rsidRDefault="00694929" w:rsidP="005D4165">
            <w:pPr>
              <w:rPr>
                <w:rFonts w:ascii="Georgia" w:hAnsi="Georgia"/>
                <w:color w:val="002060"/>
                <w:sz w:val="20"/>
              </w:rPr>
            </w:pPr>
            <w:r w:rsidRPr="00A47DE8">
              <w:rPr>
                <w:rFonts w:ascii="Georgia" w:hAnsi="Georgia"/>
                <w:b/>
              </w:rPr>
              <w:t>THE MONTH IN BRIEF</w:t>
            </w:r>
            <w:r w:rsidRPr="00A47DE8">
              <w:rPr>
                <w:rFonts w:ascii="Georgia" w:hAnsi="Georgia"/>
                <w:b/>
              </w:rPr>
              <w:br/>
            </w:r>
            <w:r>
              <w:rPr>
                <w:rFonts w:ascii="Georgia" w:hAnsi="Georgia"/>
                <w:sz w:val="20"/>
              </w:rPr>
              <w:t>Financially speaking, t</w:t>
            </w:r>
            <w:r w:rsidRPr="005000B9">
              <w:rPr>
                <w:rFonts w:ascii="Georgia" w:hAnsi="Georgia"/>
                <w:sz w:val="20"/>
              </w:rPr>
              <w:t xml:space="preserve">he last month of 2017 </w:t>
            </w:r>
            <w:r w:rsidRPr="005000B9">
              <w:rPr>
                <w:rFonts w:ascii="Georgia" w:hAnsi="Georgia"/>
                <w:sz w:val="20"/>
              </w:rPr>
              <w:t>was also the year’s most newsworthy.</w:t>
            </w:r>
            <w:r w:rsidRPr="005000B9">
              <w:rPr>
                <w:rFonts w:ascii="Georgia" w:hAnsi="Georgia"/>
                <w:sz w:val="20"/>
              </w:rPr>
              <w:t xml:space="preserve"> </w:t>
            </w:r>
            <w:r w:rsidRPr="005000B9">
              <w:rPr>
                <w:rFonts w:ascii="Georgia" w:hAnsi="Georgia"/>
                <w:sz w:val="20"/>
              </w:rPr>
              <w:t>Congress reformed federal tax law to a degree unseen since the 1980s, the Federal Reserve raised the benchmark interest rate</w:t>
            </w:r>
            <w:r>
              <w:rPr>
                <w:rFonts w:ascii="Georgia" w:hAnsi="Georgia"/>
                <w:sz w:val="20"/>
              </w:rPr>
              <w:t>, and bitcoin took its investors for a wild ride</w:t>
            </w:r>
            <w:r w:rsidRPr="005000B9">
              <w:rPr>
                <w:rFonts w:ascii="Georgia" w:hAnsi="Georgia"/>
                <w:sz w:val="20"/>
              </w:rPr>
              <w:t xml:space="preserve">. Hiring, retail sales, and personal spending numbers were all impressive, as </w:t>
            </w:r>
            <w:r w:rsidRPr="005000B9">
              <w:rPr>
                <w:rFonts w:ascii="Georgia" w:hAnsi="Georgia"/>
                <w:sz w:val="20"/>
              </w:rPr>
              <w:t>were</w:t>
            </w:r>
            <w:r w:rsidRPr="005000B9">
              <w:rPr>
                <w:rFonts w:ascii="Georgia" w:hAnsi="Georgia"/>
                <w:sz w:val="20"/>
              </w:rPr>
              <w:t xml:space="preserve"> consumer confidence</w:t>
            </w:r>
            <w:r w:rsidRPr="005000B9">
              <w:rPr>
                <w:rFonts w:ascii="Georgia" w:hAnsi="Georgia"/>
                <w:sz w:val="20"/>
              </w:rPr>
              <w:t xml:space="preserve"> index readings</w:t>
            </w:r>
            <w:r w:rsidRPr="005000B9">
              <w:rPr>
                <w:rFonts w:ascii="Georgia" w:hAnsi="Georgia"/>
                <w:sz w:val="20"/>
              </w:rPr>
              <w:t xml:space="preserve">. The residential real estate market </w:t>
            </w:r>
            <w:r>
              <w:rPr>
                <w:rFonts w:ascii="Georgia" w:hAnsi="Georgia"/>
                <w:sz w:val="20"/>
              </w:rPr>
              <w:t xml:space="preserve">showed </w:t>
            </w:r>
            <w:r w:rsidRPr="005000B9">
              <w:rPr>
                <w:rFonts w:ascii="Georgia" w:hAnsi="Georgia"/>
                <w:sz w:val="20"/>
              </w:rPr>
              <w:t>more momentum</w:t>
            </w:r>
            <w:r w:rsidRPr="005000B9">
              <w:rPr>
                <w:rFonts w:ascii="Georgia" w:hAnsi="Georgia"/>
                <w:sz w:val="20"/>
              </w:rPr>
              <w:t xml:space="preserve">. Oil closed above $60 </w:t>
            </w:r>
            <w:r>
              <w:rPr>
                <w:rFonts w:ascii="Georgia" w:hAnsi="Georgia"/>
                <w:sz w:val="20"/>
              </w:rPr>
              <w:t>again</w:t>
            </w:r>
            <w:r w:rsidRPr="005000B9">
              <w:rPr>
                <w:rFonts w:ascii="Georgia" w:hAnsi="Georgia"/>
                <w:sz w:val="20"/>
              </w:rPr>
              <w:t>.</w:t>
            </w:r>
            <w:r w:rsidRPr="005000B9">
              <w:rPr>
                <w:rFonts w:ascii="Georgia" w:hAnsi="Georgia"/>
                <w:sz w:val="20"/>
              </w:rPr>
              <w:t xml:space="preserve"> </w:t>
            </w:r>
            <w:r>
              <w:rPr>
                <w:rFonts w:ascii="Georgia" w:hAnsi="Georgia"/>
                <w:sz w:val="20"/>
              </w:rPr>
              <w:t xml:space="preserve">Emerging </w:t>
            </w:r>
            <w:r>
              <w:rPr>
                <w:rFonts w:ascii="Georgia" w:hAnsi="Georgia"/>
                <w:sz w:val="20"/>
              </w:rPr>
              <w:t xml:space="preserve">stock </w:t>
            </w:r>
            <w:r>
              <w:rPr>
                <w:rFonts w:ascii="Georgia" w:hAnsi="Georgia"/>
                <w:sz w:val="20"/>
              </w:rPr>
              <w:t xml:space="preserve">markets rallied; </w:t>
            </w:r>
            <w:r w:rsidRPr="005000B9">
              <w:rPr>
                <w:rFonts w:ascii="Georgia" w:hAnsi="Georgia"/>
                <w:sz w:val="20"/>
              </w:rPr>
              <w:t>European equity benc</w:t>
            </w:r>
            <w:r w:rsidRPr="005000B9">
              <w:rPr>
                <w:rFonts w:ascii="Georgia" w:hAnsi="Georgia"/>
                <w:sz w:val="20"/>
              </w:rPr>
              <w:t xml:space="preserve">hmarks struggled. </w:t>
            </w:r>
            <w:r>
              <w:rPr>
                <w:rFonts w:ascii="Georgia" w:hAnsi="Georgia"/>
                <w:sz w:val="20"/>
              </w:rPr>
              <w:t>As</w:t>
            </w:r>
            <w:r w:rsidRPr="005000B9">
              <w:rPr>
                <w:rFonts w:ascii="Georgia" w:hAnsi="Georgia"/>
                <w:sz w:val="20"/>
              </w:rPr>
              <w:t xml:space="preserve"> all this</w:t>
            </w:r>
            <w:r>
              <w:rPr>
                <w:rFonts w:ascii="Georgia" w:hAnsi="Georgia"/>
                <w:sz w:val="20"/>
              </w:rPr>
              <w:t xml:space="preserve"> </w:t>
            </w:r>
            <w:r>
              <w:rPr>
                <w:rFonts w:ascii="Georgia" w:hAnsi="Georgia"/>
                <w:sz w:val="20"/>
              </w:rPr>
              <w:t>transpired</w:t>
            </w:r>
            <w:r w:rsidRPr="005000B9">
              <w:rPr>
                <w:rFonts w:ascii="Georgia" w:hAnsi="Georgia"/>
                <w:sz w:val="20"/>
              </w:rPr>
              <w:t>, the S&amp;P 500 gain</w:t>
            </w:r>
            <w:r>
              <w:rPr>
                <w:rFonts w:ascii="Georgia" w:hAnsi="Georgia"/>
                <w:sz w:val="20"/>
              </w:rPr>
              <w:t>ed</w:t>
            </w:r>
            <w:r w:rsidRPr="005000B9">
              <w:rPr>
                <w:rFonts w:ascii="Georgia" w:hAnsi="Georgia"/>
                <w:sz w:val="20"/>
              </w:rPr>
              <w:t xml:space="preserve"> nearly</w:t>
            </w:r>
            <w:r>
              <w:rPr>
                <w:rFonts w:ascii="Georgia" w:hAnsi="Georgia"/>
                <w:sz w:val="20"/>
              </w:rPr>
              <w:t xml:space="preserve"> 1%</w:t>
            </w:r>
            <w:r w:rsidRPr="005000B9">
              <w:rPr>
                <w:rFonts w:ascii="Georgia" w:hAnsi="Georgia"/>
                <w:sz w:val="20"/>
              </w:rPr>
              <w:t>.</w:t>
            </w:r>
            <w:r w:rsidRPr="005000B9">
              <w:rPr>
                <w:rFonts w:ascii="Georgia" w:hAnsi="Georgia"/>
                <w:sz w:val="20"/>
                <w:vertAlign w:val="superscript"/>
              </w:rPr>
              <w:t>1</w:t>
            </w:r>
          </w:p>
          <w:p w:rsidR="00245D8E" w:rsidRPr="008B4F9C" w:rsidRDefault="00694929" w:rsidP="005D4165">
            <w:pPr>
              <w:rPr>
                <w:rFonts w:ascii="Georgia" w:hAnsi="Georgia"/>
                <w:color w:val="002060"/>
                <w:sz w:val="20"/>
              </w:rPr>
            </w:pPr>
            <w:r w:rsidRPr="008B4F9C">
              <w:rPr>
                <w:rFonts w:ascii="Georgia" w:hAnsi="Georgia"/>
                <w:color w:val="002060"/>
                <w:sz w:val="20"/>
              </w:rPr>
              <w:t xml:space="preserve">     </w:t>
            </w:r>
          </w:p>
          <w:p w:rsidR="00126558" w:rsidRPr="00560EB6" w:rsidRDefault="00694929" w:rsidP="00355965">
            <w:pPr>
              <w:rPr>
                <w:rStyle w:val="st"/>
                <w:rFonts w:ascii="Georgia" w:hAnsi="Georgia"/>
                <w:sz w:val="20"/>
                <w:szCs w:val="20"/>
              </w:rPr>
            </w:pPr>
            <w:r w:rsidRPr="00126558">
              <w:rPr>
                <w:rFonts w:ascii="Georgia" w:hAnsi="Georgia"/>
                <w:b/>
              </w:rPr>
              <w:t xml:space="preserve">DOMESTIC ECONOMIC HEALTH </w:t>
            </w:r>
            <w:r w:rsidRPr="00126558">
              <w:rPr>
                <w:rFonts w:ascii="Georgia" w:hAnsi="Georgia"/>
                <w:b/>
              </w:rPr>
              <w:br/>
            </w:r>
            <w:r w:rsidRPr="00126558">
              <w:rPr>
                <w:rStyle w:val="st"/>
                <w:rFonts w:ascii="Georgia" w:hAnsi="Georgia"/>
                <w:sz w:val="20"/>
                <w:szCs w:val="20"/>
              </w:rPr>
              <w:t xml:space="preserve">On December 22, President Trump signed the Tax Cuts &amp; Jobs Act into law. The new legislation amounted to a dramatic rewrite of key federal tax code </w:t>
            </w:r>
            <w:r w:rsidRPr="00126558">
              <w:rPr>
                <w:rStyle w:val="st"/>
                <w:rFonts w:ascii="Georgia" w:hAnsi="Georgia"/>
                <w:sz w:val="20"/>
                <w:szCs w:val="20"/>
              </w:rPr>
              <w:t>provisions</w:t>
            </w:r>
            <w:r>
              <w:rPr>
                <w:rStyle w:val="st"/>
                <w:rFonts w:ascii="Georgia" w:hAnsi="Georgia"/>
                <w:sz w:val="20"/>
                <w:szCs w:val="20"/>
              </w:rPr>
              <w:t xml:space="preserve">: it doubled the individual estate tax exemption to $11.2 million, </w:t>
            </w:r>
            <w:r>
              <w:rPr>
                <w:rStyle w:val="st"/>
                <w:rFonts w:ascii="Georgia" w:hAnsi="Georgia"/>
                <w:sz w:val="20"/>
                <w:szCs w:val="20"/>
              </w:rPr>
              <w:t>raised</w:t>
            </w:r>
            <w:r>
              <w:rPr>
                <w:rStyle w:val="st"/>
                <w:rFonts w:ascii="Georgia" w:hAnsi="Georgia"/>
                <w:sz w:val="20"/>
                <w:szCs w:val="20"/>
              </w:rPr>
              <w:t xml:space="preserve"> the standard income tax deduction</w:t>
            </w:r>
            <w:r>
              <w:rPr>
                <w:rStyle w:val="st"/>
                <w:rFonts w:ascii="Georgia" w:hAnsi="Georgia"/>
                <w:sz w:val="20"/>
                <w:szCs w:val="20"/>
              </w:rPr>
              <w:t xml:space="preserve"> to $12,000,</w:t>
            </w:r>
            <w:r>
              <w:rPr>
                <w:rStyle w:val="st"/>
                <w:rFonts w:ascii="Georgia" w:hAnsi="Georgia"/>
                <w:sz w:val="20"/>
                <w:szCs w:val="20"/>
              </w:rPr>
              <w:t xml:space="preserve"> and eliminated </w:t>
            </w:r>
            <w:r w:rsidRPr="00560EB6">
              <w:rPr>
                <w:rStyle w:val="st"/>
                <w:rFonts w:ascii="Georgia" w:hAnsi="Georgia"/>
                <w:sz w:val="20"/>
                <w:szCs w:val="20"/>
              </w:rPr>
              <w:t xml:space="preserve">the personal exemption </w:t>
            </w:r>
            <w:r>
              <w:rPr>
                <w:rStyle w:val="st"/>
                <w:rFonts w:ascii="Georgia" w:hAnsi="Georgia"/>
                <w:sz w:val="20"/>
                <w:szCs w:val="20"/>
              </w:rPr>
              <w:t>as well as</w:t>
            </w:r>
            <w:r w:rsidRPr="00560EB6">
              <w:rPr>
                <w:rStyle w:val="st"/>
                <w:rFonts w:ascii="Georgia" w:hAnsi="Georgia"/>
                <w:sz w:val="20"/>
                <w:szCs w:val="20"/>
              </w:rPr>
              <w:t xml:space="preserve"> scores of deductions favored by taxpayers who itemize</w:t>
            </w:r>
            <w:r w:rsidRPr="00560EB6">
              <w:rPr>
                <w:rStyle w:val="st"/>
                <w:rFonts w:ascii="Georgia" w:hAnsi="Georgia"/>
                <w:sz w:val="20"/>
                <w:szCs w:val="20"/>
              </w:rPr>
              <w:t>.</w:t>
            </w:r>
            <w:r w:rsidRPr="00560EB6">
              <w:rPr>
                <w:rStyle w:val="st"/>
                <w:rFonts w:ascii="Georgia" w:hAnsi="Georgia"/>
                <w:sz w:val="20"/>
                <w:szCs w:val="20"/>
              </w:rPr>
              <w:t xml:space="preserve"> The law also cut the c</w:t>
            </w:r>
            <w:r w:rsidRPr="00560EB6">
              <w:rPr>
                <w:rStyle w:val="st"/>
                <w:rFonts w:ascii="Georgia" w:hAnsi="Georgia"/>
                <w:sz w:val="20"/>
                <w:szCs w:val="20"/>
              </w:rPr>
              <w:t xml:space="preserve">orporate tax rate to 21% and </w:t>
            </w:r>
            <w:r>
              <w:rPr>
                <w:rStyle w:val="st"/>
                <w:rFonts w:ascii="Georgia" w:hAnsi="Georgia"/>
                <w:sz w:val="20"/>
                <w:szCs w:val="20"/>
              </w:rPr>
              <w:t>permitted</w:t>
            </w:r>
            <w:r w:rsidRPr="00560EB6">
              <w:rPr>
                <w:rStyle w:val="st"/>
                <w:rFonts w:ascii="Georgia" w:hAnsi="Georgia"/>
                <w:sz w:val="20"/>
                <w:szCs w:val="20"/>
              </w:rPr>
              <w:t xml:space="preserve"> most pass-through businesses </w:t>
            </w:r>
            <w:r>
              <w:rPr>
                <w:rStyle w:val="st"/>
                <w:rFonts w:ascii="Georgia" w:hAnsi="Georgia"/>
                <w:sz w:val="20"/>
                <w:szCs w:val="20"/>
              </w:rPr>
              <w:t>to take</w:t>
            </w:r>
            <w:r w:rsidRPr="00560EB6">
              <w:rPr>
                <w:rStyle w:val="st"/>
                <w:rFonts w:ascii="Georgia" w:hAnsi="Georgia"/>
                <w:sz w:val="20"/>
                <w:szCs w:val="20"/>
              </w:rPr>
              <w:t xml:space="preserve"> a 20% deduction on earnings.</w:t>
            </w:r>
            <w:r w:rsidRPr="00560EB6">
              <w:rPr>
                <w:rStyle w:val="st"/>
                <w:rFonts w:ascii="Georgia" w:hAnsi="Georgia"/>
                <w:sz w:val="20"/>
                <w:szCs w:val="20"/>
              </w:rPr>
              <w:t xml:space="preserve"> Most of the</w:t>
            </w:r>
            <w:r w:rsidRPr="00560EB6">
              <w:rPr>
                <w:rStyle w:val="st"/>
                <w:rFonts w:ascii="Georgia" w:hAnsi="Georgia"/>
                <w:sz w:val="20"/>
                <w:szCs w:val="20"/>
              </w:rPr>
              <w:t>se</w:t>
            </w:r>
            <w:r w:rsidRPr="00560EB6">
              <w:rPr>
                <w:rStyle w:val="st"/>
                <w:rFonts w:ascii="Georgia" w:hAnsi="Georgia"/>
                <w:sz w:val="20"/>
                <w:szCs w:val="20"/>
              </w:rPr>
              <w:t xml:space="preserve"> changes are scheduled to expire </w:t>
            </w:r>
            <w:r>
              <w:rPr>
                <w:rStyle w:val="st"/>
                <w:rFonts w:ascii="Georgia" w:hAnsi="Georgia"/>
                <w:sz w:val="20"/>
                <w:szCs w:val="20"/>
              </w:rPr>
              <w:t>after</w:t>
            </w:r>
            <w:r w:rsidRPr="00560EB6">
              <w:rPr>
                <w:rStyle w:val="st"/>
                <w:rFonts w:ascii="Georgia" w:hAnsi="Georgia"/>
                <w:sz w:val="20"/>
                <w:szCs w:val="20"/>
              </w:rPr>
              <w:t xml:space="preserve"> 2025, unless Congress </w:t>
            </w:r>
            <w:r w:rsidRPr="00560EB6">
              <w:rPr>
                <w:rStyle w:val="st"/>
                <w:rFonts w:ascii="Georgia" w:hAnsi="Georgia"/>
                <w:sz w:val="20"/>
                <w:szCs w:val="20"/>
              </w:rPr>
              <w:t>preserves</w:t>
            </w:r>
            <w:r w:rsidRPr="00560EB6">
              <w:rPr>
                <w:rStyle w:val="st"/>
                <w:rFonts w:ascii="Georgia" w:hAnsi="Georgia"/>
                <w:sz w:val="20"/>
                <w:szCs w:val="20"/>
              </w:rPr>
              <w:t xml:space="preserve"> them.</w:t>
            </w:r>
            <w:r w:rsidRPr="00560EB6">
              <w:rPr>
                <w:rStyle w:val="st"/>
                <w:rFonts w:ascii="Georgia" w:hAnsi="Georgia"/>
                <w:sz w:val="20"/>
                <w:szCs w:val="20"/>
                <w:vertAlign w:val="superscript"/>
              </w:rPr>
              <w:t>2</w:t>
            </w:r>
          </w:p>
          <w:p w:rsidR="00126558" w:rsidRPr="00560EB6" w:rsidRDefault="00694929" w:rsidP="00355965">
            <w:pPr>
              <w:rPr>
                <w:rStyle w:val="st"/>
                <w:rFonts w:ascii="Georgia" w:hAnsi="Georgia"/>
                <w:sz w:val="20"/>
                <w:szCs w:val="20"/>
              </w:rPr>
            </w:pPr>
            <w:r w:rsidRPr="00560EB6">
              <w:rPr>
                <w:rStyle w:val="st"/>
                <w:rFonts w:ascii="Georgia" w:hAnsi="Georgia"/>
                <w:sz w:val="20"/>
                <w:szCs w:val="20"/>
              </w:rPr>
              <w:t xml:space="preserve">  </w:t>
            </w:r>
          </w:p>
          <w:p w:rsidR="00111352" w:rsidRPr="00C654DB" w:rsidRDefault="00694929" w:rsidP="00355965">
            <w:pPr>
              <w:rPr>
                <w:rStyle w:val="st"/>
                <w:rFonts w:ascii="Georgia" w:hAnsi="Georgia"/>
                <w:sz w:val="20"/>
                <w:szCs w:val="20"/>
              </w:rPr>
            </w:pPr>
            <w:r w:rsidRPr="00560EB6">
              <w:rPr>
                <w:rStyle w:val="st"/>
                <w:rFonts w:ascii="Georgia" w:hAnsi="Georgia"/>
                <w:sz w:val="20"/>
                <w:szCs w:val="20"/>
              </w:rPr>
              <w:t xml:space="preserve">The Federal Open Market Committee voted 7-2 to lift the benchmark interest rate another quarter of a point. That </w:t>
            </w:r>
            <w:r w:rsidRPr="00C654DB">
              <w:rPr>
                <w:rStyle w:val="st"/>
                <w:rFonts w:ascii="Georgia" w:hAnsi="Georgia"/>
                <w:sz w:val="20"/>
                <w:szCs w:val="20"/>
              </w:rPr>
              <w:t xml:space="preserve">put the target range for the federal funds rate at 1.25-1.5%. </w:t>
            </w:r>
            <w:r w:rsidRPr="00C654DB">
              <w:rPr>
                <w:rStyle w:val="st"/>
                <w:rFonts w:ascii="Georgia" w:hAnsi="Georgia"/>
                <w:sz w:val="20"/>
                <w:szCs w:val="20"/>
              </w:rPr>
              <w:t>The FOMC maintained its forecast for three rate hikes in 2018, with a consensus p</w:t>
            </w:r>
            <w:r w:rsidRPr="00C654DB">
              <w:rPr>
                <w:rStyle w:val="st"/>
                <w:rFonts w:ascii="Georgia" w:hAnsi="Georgia"/>
                <w:sz w:val="20"/>
                <w:szCs w:val="20"/>
              </w:rPr>
              <w:t>rojection of the federal funds rate at 2.1% at the end of this year</w:t>
            </w:r>
            <w:r w:rsidRPr="00C654DB">
              <w:rPr>
                <w:rStyle w:val="st"/>
                <w:rFonts w:ascii="Georgia" w:hAnsi="Georgia"/>
                <w:sz w:val="20"/>
                <w:szCs w:val="20"/>
              </w:rPr>
              <w:t>.</w:t>
            </w:r>
            <w:r w:rsidRPr="00C654DB">
              <w:rPr>
                <w:rStyle w:val="st"/>
                <w:rFonts w:ascii="Georgia" w:hAnsi="Georgia"/>
                <w:sz w:val="20"/>
                <w:szCs w:val="20"/>
                <w:vertAlign w:val="superscript"/>
              </w:rPr>
              <w:t>3</w:t>
            </w:r>
          </w:p>
          <w:p w:rsidR="00111352" w:rsidRPr="00C654DB" w:rsidRDefault="00694929" w:rsidP="00355965">
            <w:pPr>
              <w:rPr>
                <w:rStyle w:val="st"/>
                <w:rFonts w:ascii="Georgia" w:hAnsi="Georgia"/>
                <w:sz w:val="20"/>
                <w:szCs w:val="20"/>
              </w:rPr>
            </w:pPr>
            <w:r w:rsidRPr="00C654DB">
              <w:rPr>
                <w:rStyle w:val="st"/>
                <w:rFonts w:ascii="Georgia" w:hAnsi="Georgia"/>
                <w:sz w:val="20"/>
                <w:szCs w:val="20"/>
              </w:rPr>
              <w:t xml:space="preserve"> </w:t>
            </w:r>
            <w:r>
              <w:rPr>
                <w:rStyle w:val="st"/>
                <w:rFonts w:ascii="Georgia" w:hAnsi="Georgia"/>
                <w:sz w:val="20"/>
                <w:szCs w:val="20"/>
              </w:rPr>
              <w:t xml:space="preserve"> </w:t>
            </w:r>
          </w:p>
          <w:p w:rsidR="00560EB6" w:rsidRPr="00FF294D" w:rsidRDefault="00694929" w:rsidP="00355965">
            <w:pPr>
              <w:rPr>
                <w:rStyle w:val="st"/>
                <w:rFonts w:ascii="Georgia" w:hAnsi="Georgia"/>
                <w:sz w:val="20"/>
                <w:szCs w:val="20"/>
              </w:rPr>
            </w:pPr>
            <w:r w:rsidRPr="00C654DB">
              <w:rPr>
                <w:rStyle w:val="st"/>
                <w:rFonts w:ascii="Georgia" w:hAnsi="Georgia"/>
                <w:sz w:val="20"/>
                <w:szCs w:val="20"/>
              </w:rPr>
              <w:t xml:space="preserve">As the fourth quarter ended, the third estimate of Q3 growth came in from the Bureau of Economic Analysis: a strong 3.2%, down from </w:t>
            </w:r>
            <w:r w:rsidRPr="00FF294D">
              <w:rPr>
                <w:rStyle w:val="st"/>
                <w:rFonts w:ascii="Georgia" w:hAnsi="Georgia"/>
                <w:sz w:val="20"/>
                <w:szCs w:val="20"/>
              </w:rPr>
              <w:t xml:space="preserve">the prior 3.3%. </w:t>
            </w:r>
            <w:r w:rsidRPr="00FF294D">
              <w:rPr>
                <w:rStyle w:val="st"/>
                <w:rFonts w:ascii="Georgia" w:hAnsi="Georgia"/>
                <w:sz w:val="20"/>
                <w:szCs w:val="20"/>
              </w:rPr>
              <w:t>In a good sign for Q4 GDP, personal</w:t>
            </w:r>
            <w:r w:rsidRPr="00FF294D">
              <w:rPr>
                <w:rStyle w:val="st"/>
                <w:rFonts w:ascii="Georgia" w:hAnsi="Georgia"/>
                <w:sz w:val="20"/>
                <w:szCs w:val="20"/>
              </w:rPr>
              <w:t xml:space="preserve"> spending rose 0.6% in November, with personal incomes up 0.3%. Looking ahead, the Federal Reserve’s median forecast sees the economy growing 2.5% in 2018.</w:t>
            </w:r>
            <w:r w:rsidRPr="00FF294D">
              <w:rPr>
                <w:rStyle w:val="st"/>
                <w:rFonts w:ascii="Georgia" w:hAnsi="Georgia"/>
                <w:sz w:val="20"/>
                <w:szCs w:val="20"/>
                <w:vertAlign w:val="superscript"/>
              </w:rPr>
              <w:t>3,4</w:t>
            </w:r>
          </w:p>
          <w:p w:rsidR="00560EB6" w:rsidRPr="00FF294D" w:rsidRDefault="00694929" w:rsidP="00355965">
            <w:pPr>
              <w:rPr>
                <w:rStyle w:val="st"/>
                <w:rFonts w:ascii="Georgia" w:hAnsi="Georgia"/>
                <w:sz w:val="20"/>
                <w:szCs w:val="20"/>
              </w:rPr>
            </w:pPr>
            <w:r>
              <w:rPr>
                <w:rStyle w:val="st"/>
                <w:rFonts w:ascii="Georgia" w:hAnsi="Georgia"/>
                <w:sz w:val="20"/>
                <w:szCs w:val="20"/>
              </w:rPr>
              <w:t xml:space="preserve"> </w:t>
            </w:r>
          </w:p>
          <w:p w:rsidR="00C654DB" w:rsidRPr="000A0969" w:rsidRDefault="00694929" w:rsidP="00355965">
            <w:pPr>
              <w:rPr>
                <w:rStyle w:val="st"/>
                <w:rFonts w:ascii="Georgia" w:hAnsi="Georgia"/>
                <w:sz w:val="20"/>
                <w:szCs w:val="20"/>
              </w:rPr>
            </w:pPr>
            <w:r w:rsidRPr="00FF294D">
              <w:rPr>
                <w:rStyle w:val="st"/>
                <w:rFonts w:ascii="Georgia" w:hAnsi="Georgia"/>
                <w:sz w:val="20"/>
                <w:szCs w:val="20"/>
              </w:rPr>
              <w:t>Speaking of growth, the factory and service sectors of the economy continued to expand nicely</w:t>
            </w:r>
            <w:r w:rsidRPr="000A0969">
              <w:rPr>
                <w:rStyle w:val="st"/>
                <w:rFonts w:ascii="Georgia" w:hAnsi="Georgia"/>
                <w:sz w:val="20"/>
                <w:szCs w:val="20"/>
              </w:rPr>
              <w:t xml:space="preserve">. </w:t>
            </w:r>
            <w:r w:rsidRPr="000A0969">
              <w:rPr>
                <w:rStyle w:val="st"/>
                <w:rFonts w:ascii="Georgia" w:hAnsi="Georgia"/>
                <w:sz w:val="20"/>
                <w:szCs w:val="20"/>
              </w:rPr>
              <w:t>The Institute for Supply Management’s manufacturing purchasing manager index came in at</w:t>
            </w:r>
            <w:r w:rsidRPr="000A0969">
              <w:rPr>
                <w:rStyle w:val="st"/>
                <w:rFonts w:ascii="Georgia" w:hAnsi="Georgia"/>
                <w:sz w:val="20"/>
                <w:szCs w:val="20"/>
              </w:rPr>
              <w:t xml:space="preserve"> 58.2 for November; ISM’s non-manufacturing PMI showed a November reading of</w:t>
            </w:r>
            <w:r w:rsidRPr="000A0969">
              <w:rPr>
                <w:rStyle w:val="st"/>
                <w:rFonts w:ascii="Georgia" w:hAnsi="Georgia"/>
                <w:sz w:val="20"/>
                <w:szCs w:val="20"/>
              </w:rPr>
              <w:t xml:space="preserve"> 57.4. </w:t>
            </w:r>
            <w:r>
              <w:rPr>
                <w:rStyle w:val="st"/>
                <w:rFonts w:ascii="Georgia" w:hAnsi="Georgia"/>
                <w:sz w:val="20"/>
                <w:szCs w:val="20"/>
              </w:rPr>
              <w:t>(</w:t>
            </w:r>
            <w:r w:rsidRPr="000A0969">
              <w:rPr>
                <w:rStyle w:val="st"/>
                <w:rFonts w:ascii="Georgia" w:hAnsi="Georgia"/>
                <w:sz w:val="20"/>
                <w:szCs w:val="20"/>
              </w:rPr>
              <w:t>In October, the readings had been even high</w:t>
            </w:r>
            <w:r w:rsidRPr="000A0969">
              <w:rPr>
                <w:rStyle w:val="st"/>
                <w:rFonts w:ascii="Georgia" w:hAnsi="Georgia"/>
                <w:sz w:val="20"/>
                <w:szCs w:val="20"/>
              </w:rPr>
              <w:t>er</w:t>
            </w:r>
            <w:r>
              <w:rPr>
                <w:rStyle w:val="st"/>
                <w:rFonts w:ascii="Georgia" w:hAnsi="Georgia"/>
                <w:sz w:val="20"/>
                <w:szCs w:val="20"/>
              </w:rPr>
              <w:t>.</w:t>
            </w:r>
            <w:r w:rsidRPr="000A0969">
              <w:rPr>
                <w:rStyle w:val="st"/>
                <w:rFonts w:ascii="Georgia" w:hAnsi="Georgia"/>
                <w:sz w:val="20"/>
                <w:szCs w:val="20"/>
              </w:rPr>
              <w:t xml:space="preserve"> </w:t>
            </w:r>
            <w:r>
              <w:rPr>
                <w:rStyle w:val="st"/>
                <w:rFonts w:ascii="Georgia" w:hAnsi="Georgia"/>
                <w:sz w:val="20"/>
                <w:szCs w:val="20"/>
              </w:rPr>
              <w:t>T</w:t>
            </w:r>
            <w:r w:rsidRPr="000A0969">
              <w:rPr>
                <w:rStyle w:val="st"/>
                <w:rFonts w:ascii="Georgia" w:hAnsi="Georgia"/>
                <w:sz w:val="20"/>
                <w:szCs w:val="20"/>
              </w:rPr>
              <w:t>he factory PMI was up at 58.7</w:t>
            </w:r>
            <w:r>
              <w:rPr>
                <w:rStyle w:val="st"/>
                <w:rFonts w:ascii="Georgia" w:hAnsi="Georgia"/>
                <w:sz w:val="20"/>
                <w:szCs w:val="20"/>
              </w:rPr>
              <w:t>;</w:t>
            </w:r>
            <w:r w:rsidRPr="000A0969">
              <w:rPr>
                <w:rStyle w:val="st"/>
                <w:rFonts w:ascii="Georgia" w:hAnsi="Georgia"/>
                <w:sz w:val="20"/>
                <w:szCs w:val="20"/>
              </w:rPr>
              <w:t xml:space="preserve"> the se</w:t>
            </w:r>
            <w:r w:rsidRPr="000A0969">
              <w:rPr>
                <w:rStyle w:val="st"/>
                <w:rFonts w:ascii="Georgia" w:hAnsi="Georgia"/>
                <w:sz w:val="20"/>
                <w:szCs w:val="20"/>
              </w:rPr>
              <w:t>rvices PMI</w:t>
            </w:r>
            <w:r>
              <w:rPr>
                <w:rStyle w:val="st"/>
                <w:rFonts w:ascii="Georgia" w:hAnsi="Georgia"/>
                <w:sz w:val="20"/>
                <w:szCs w:val="20"/>
              </w:rPr>
              <w:t>,</w:t>
            </w:r>
            <w:r w:rsidRPr="000A0969">
              <w:rPr>
                <w:rStyle w:val="st"/>
                <w:rFonts w:ascii="Georgia" w:hAnsi="Georgia"/>
                <w:sz w:val="20"/>
                <w:szCs w:val="20"/>
              </w:rPr>
              <w:t xml:space="preserve"> at 60.1.</w:t>
            </w:r>
            <w:r>
              <w:rPr>
                <w:rStyle w:val="st"/>
                <w:rFonts w:ascii="Georgia" w:hAnsi="Georgia"/>
                <w:sz w:val="20"/>
                <w:szCs w:val="20"/>
              </w:rPr>
              <w:t>)</w:t>
            </w:r>
            <w:r w:rsidRPr="000A0969">
              <w:rPr>
                <w:rStyle w:val="st"/>
                <w:rFonts w:ascii="Georgia" w:hAnsi="Georgia"/>
                <w:sz w:val="20"/>
                <w:szCs w:val="20"/>
              </w:rPr>
              <w:t xml:space="preserve"> Complementing this</w:t>
            </w:r>
            <w:r>
              <w:rPr>
                <w:rStyle w:val="st"/>
                <w:rFonts w:ascii="Georgia" w:hAnsi="Georgia"/>
                <w:sz w:val="20"/>
                <w:szCs w:val="20"/>
              </w:rPr>
              <w:t xml:space="preserve"> data</w:t>
            </w:r>
            <w:r w:rsidRPr="000A0969">
              <w:rPr>
                <w:rStyle w:val="st"/>
                <w:rFonts w:ascii="Georgia" w:hAnsi="Georgia"/>
                <w:sz w:val="20"/>
                <w:szCs w:val="20"/>
              </w:rPr>
              <w:t>, the federal government noted a 1.3% gain in hard goods orders in November.</w:t>
            </w:r>
            <w:r w:rsidRPr="000A0969">
              <w:rPr>
                <w:rStyle w:val="st"/>
                <w:rFonts w:ascii="Georgia" w:hAnsi="Georgia"/>
                <w:sz w:val="20"/>
                <w:szCs w:val="20"/>
                <w:vertAlign w:val="superscript"/>
              </w:rPr>
              <w:t>4,5</w:t>
            </w:r>
            <w:r w:rsidRPr="000A0969">
              <w:rPr>
                <w:rStyle w:val="st"/>
                <w:rFonts w:ascii="Georgia" w:hAnsi="Georgia"/>
                <w:sz w:val="20"/>
                <w:szCs w:val="20"/>
              </w:rPr>
              <w:t xml:space="preserve">  </w:t>
            </w:r>
          </w:p>
          <w:p w:rsidR="00560EB6" w:rsidRPr="000A0969" w:rsidRDefault="00694929" w:rsidP="00355965">
            <w:pPr>
              <w:rPr>
                <w:rStyle w:val="st"/>
                <w:rFonts w:ascii="Georgia" w:hAnsi="Georgia"/>
                <w:sz w:val="20"/>
                <w:szCs w:val="20"/>
              </w:rPr>
            </w:pPr>
            <w:r>
              <w:rPr>
                <w:rStyle w:val="st"/>
                <w:rFonts w:ascii="Georgia" w:hAnsi="Georgia"/>
                <w:sz w:val="20"/>
                <w:szCs w:val="20"/>
              </w:rPr>
              <w:t xml:space="preserve"> </w:t>
            </w:r>
          </w:p>
          <w:p w:rsidR="00355965" w:rsidRPr="00FC537D" w:rsidRDefault="00694929" w:rsidP="00355965">
            <w:pPr>
              <w:rPr>
                <w:rStyle w:val="st"/>
                <w:rFonts w:ascii="Georgia" w:hAnsi="Georgia"/>
                <w:sz w:val="20"/>
                <w:szCs w:val="20"/>
              </w:rPr>
            </w:pPr>
            <w:r w:rsidRPr="000A0969">
              <w:rPr>
                <w:rStyle w:val="st"/>
                <w:rFonts w:ascii="Georgia" w:hAnsi="Georgia"/>
                <w:sz w:val="20"/>
                <w:szCs w:val="20"/>
              </w:rPr>
              <w:t>The country’s most-watc</w:t>
            </w:r>
            <w:r w:rsidRPr="00FC537D">
              <w:rPr>
                <w:rStyle w:val="st"/>
                <w:rFonts w:ascii="Georgia" w:hAnsi="Georgia"/>
                <w:sz w:val="20"/>
                <w:szCs w:val="20"/>
              </w:rPr>
              <w:t xml:space="preserve">hed consumer confidence </w:t>
            </w:r>
            <w:r w:rsidRPr="00FC537D">
              <w:rPr>
                <w:rStyle w:val="st"/>
                <w:rFonts w:ascii="Georgia" w:hAnsi="Georgia"/>
                <w:sz w:val="20"/>
                <w:szCs w:val="20"/>
              </w:rPr>
              <w:t>gauge</w:t>
            </w:r>
            <w:r w:rsidRPr="00FC537D">
              <w:rPr>
                <w:rStyle w:val="st"/>
                <w:rFonts w:ascii="Georgia" w:hAnsi="Georgia"/>
                <w:sz w:val="20"/>
                <w:szCs w:val="20"/>
              </w:rPr>
              <w:t>s were in good shape, though both declined in December.</w:t>
            </w:r>
            <w:r w:rsidRPr="00FC537D">
              <w:rPr>
                <w:rStyle w:val="st"/>
                <w:rFonts w:ascii="Georgia" w:hAnsi="Georgia"/>
                <w:sz w:val="20"/>
                <w:szCs w:val="20"/>
              </w:rPr>
              <w:t xml:space="preserve"> </w:t>
            </w:r>
            <w:r w:rsidRPr="00FC537D">
              <w:rPr>
                <w:rStyle w:val="st"/>
                <w:rFonts w:ascii="Georgia" w:hAnsi="Georgia"/>
                <w:sz w:val="20"/>
                <w:szCs w:val="20"/>
              </w:rPr>
              <w:t xml:space="preserve">Economists polled </w:t>
            </w:r>
            <w:r w:rsidRPr="00FC537D">
              <w:rPr>
                <w:rStyle w:val="st"/>
                <w:rFonts w:ascii="Georgia" w:hAnsi="Georgia"/>
                <w:sz w:val="20"/>
                <w:szCs w:val="20"/>
              </w:rPr>
              <w:t>by MarketWatch expected a reading of 127.5 for the Conference Board’s barometer and 97.1 for the University of Michigan’s index of consumer sentiment</w:t>
            </w:r>
            <w:r>
              <w:rPr>
                <w:rStyle w:val="st"/>
                <w:rFonts w:ascii="Georgia" w:hAnsi="Georgia"/>
                <w:sz w:val="20"/>
                <w:szCs w:val="20"/>
              </w:rPr>
              <w:t>. T</w:t>
            </w:r>
            <w:r w:rsidRPr="00FC537D">
              <w:rPr>
                <w:rStyle w:val="st"/>
                <w:rFonts w:ascii="Georgia" w:hAnsi="Georgia"/>
                <w:sz w:val="20"/>
                <w:szCs w:val="20"/>
              </w:rPr>
              <w:t>he CB index fell 6.5 points to 122.1</w:t>
            </w:r>
            <w:r>
              <w:rPr>
                <w:rStyle w:val="st"/>
                <w:rFonts w:ascii="Georgia" w:hAnsi="Georgia"/>
                <w:sz w:val="20"/>
                <w:szCs w:val="20"/>
              </w:rPr>
              <w:t>;</w:t>
            </w:r>
            <w:r w:rsidRPr="00FC537D">
              <w:rPr>
                <w:rStyle w:val="st"/>
                <w:rFonts w:ascii="Georgia" w:hAnsi="Georgia"/>
                <w:sz w:val="20"/>
                <w:szCs w:val="20"/>
              </w:rPr>
              <w:t xml:space="preserve"> the UMich index</w:t>
            </w:r>
            <w:r>
              <w:rPr>
                <w:rStyle w:val="st"/>
                <w:rFonts w:ascii="Georgia" w:hAnsi="Georgia"/>
                <w:sz w:val="20"/>
                <w:szCs w:val="20"/>
              </w:rPr>
              <w:t>,</w:t>
            </w:r>
            <w:r w:rsidRPr="00FC537D">
              <w:rPr>
                <w:rStyle w:val="st"/>
                <w:rFonts w:ascii="Georgia" w:hAnsi="Georgia"/>
                <w:sz w:val="20"/>
                <w:szCs w:val="20"/>
              </w:rPr>
              <w:t xml:space="preserve"> 0.9 points from its preliminary December reading </w:t>
            </w:r>
            <w:r w:rsidRPr="00FC537D">
              <w:rPr>
                <w:rStyle w:val="st"/>
                <w:rFonts w:ascii="Georgia" w:hAnsi="Georgia"/>
                <w:sz w:val="20"/>
                <w:szCs w:val="20"/>
              </w:rPr>
              <w:t>to 95.9.</w:t>
            </w:r>
            <w:r w:rsidRPr="00FC537D">
              <w:rPr>
                <w:rStyle w:val="st"/>
                <w:rFonts w:ascii="Georgia" w:hAnsi="Georgia"/>
                <w:sz w:val="20"/>
                <w:szCs w:val="20"/>
                <w:vertAlign w:val="superscript"/>
              </w:rPr>
              <w:t>3</w:t>
            </w:r>
            <w:r w:rsidRPr="00FC537D">
              <w:rPr>
                <w:rStyle w:val="st"/>
                <w:rFonts w:ascii="Georgia" w:hAnsi="Georgia"/>
                <w:sz w:val="20"/>
                <w:szCs w:val="20"/>
                <w:vertAlign w:val="superscript"/>
              </w:rPr>
              <w:t>,4</w:t>
            </w:r>
          </w:p>
          <w:p w:rsidR="00355965" w:rsidRPr="00FC537D" w:rsidRDefault="00694929" w:rsidP="00355965">
            <w:pPr>
              <w:rPr>
                <w:rStyle w:val="st"/>
                <w:rFonts w:ascii="Georgia" w:hAnsi="Georgia"/>
                <w:sz w:val="20"/>
                <w:szCs w:val="20"/>
              </w:rPr>
            </w:pPr>
            <w:r w:rsidRPr="00FC537D">
              <w:rPr>
                <w:rStyle w:val="st"/>
                <w:rFonts w:ascii="Georgia" w:hAnsi="Georgia"/>
                <w:sz w:val="20"/>
                <w:szCs w:val="20"/>
              </w:rPr>
              <w:t xml:space="preserve"> </w:t>
            </w:r>
            <w:r>
              <w:rPr>
                <w:rStyle w:val="st"/>
                <w:rFonts w:ascii="Georgia" w:hAnsi="Georgia"/>
                <w:sz w:val="20"/>
                <w:szCs w:val="20"/>
              </w:rPr>
              <w:t xml:space="preserve"> </w:t>
            </w:r>
            <w:r w:rsidRPr="00FC537D">
              <w:rPr>
                <w:rStyle w:val="st"/>
                <w:rFonts w:ascii="Georgia" w:hAnsi="Georgia"/>
                <w:sz w:val="20"/>
                <w:szCs w:val="20"/>
              </w:rPr>
              <w:t xml:space="preserve"> </w:t>
            </w:r>
          </w:p>
          <w:p w:rsidR="000A0969" w:rsidRPr="00FC537D" w:rsidRDefault="00694929" w:rsidP="005D4165">
            <w:pPr>
              <w:rPr>
                <w:rStyle w:val="st"/>
                <w:rFonts w:ascii="Georgia" w:hAnsi="Georgia"/>
                <w:sz w:val="20"/>
                <w:szCs w:val="20"/>
                <w:vertAlign w:val="superscript"/>
              </w:rPr>
            </w:pPr>
            <w:r w:rsidRPr="00FC537D">
              <w:rPr>
                <w:rStyle w:val="st"/>
                <w:rFonts w:ascii="Georgia" w:hAnsi="Georgia"/>
                <w:sz w:val="20"/>
                <w:szCs w:val="20"/>
              </w:rPr>
              <w:t xml:space="preserve">Confident consumers tend to spend freely, and that was the case during the holidays. The Department of Commerce found retail sales up 0.8% for November, and </w:t>
            </w:r>
            <w:r w:rsidRPr="00FC537D">
              <w:rPr>
                <w:rStyle w:val="st"/>
                <w:rFonts w:ascii="Georgia" w:hAnsi="Georgia"/>
                <w:sz w:val="20"/>
                <w:szCs w:val="20"/>
              </w:rPr>
              <w:t xml:space="preserve">Adobe Digital Insights reported a 14.7% year-over-year rise in e-commerce sales in </w:t>
            </w:r>
            <w:r w:rsidRPr="00FC537D">
              <w:rPr>
                <w:rStyle w:val="st"/>
                <w:rFonts w:ascii="Georgia" w:hAnsi="Georgia"/>
                <w:sz w:val="20"/>
                <w:szCs w:val="20"/>
              </w:rPr>
              <w:t>December</w:t>
            </w:r>
            <w:r w:rsidRPr="00FC537D">
              <w:rPr>
                <w:rStyle w:val="st"/>
                <w:rFonts w:ascii="Georgia" w:hAnsi="Georgia"/>
                <w:sz w:val="20"/>
                <w:szCs w:val="20"/>
              </w:rPr>
              <w:t>.</w:t>
            </w:r>
            <w:r w:rsidRPr="00FC537D">
              <w:rPr>
                <w:rStyle w:val="st"/>
                <w:rFonts w:ascii="Georgia" w:hAnsi="Georgia"/>
                <w:sz w:val="20"/>
                <w:szCs w:val="20"/>
                <w:vertAlign w:val="superscript"/>
              </w:rPr>
              <w:t>6</w:t>
            </w:r>
          </w:p>
          <w:p w:rsidR="000A0969" w:rsidRPr="0087432D" w:rsidRDefault="00694929" w:rsidP="005D4165">
            <w:pPr>
              <w:rPr>
                <w:rStyle w:val="st"/>
                <w:rFonts w:ascii="Georgia" w:hAnsi="Georgia"/>
                <w:sz w:val="20"/>
                <w:szCs w:val="20"/>
              </w:rPr>
            </w:pPr>
            <w:r>
              <w:rPr>
                <w:rStyle w:val="st"/>
                <w:rFonts w:ascii="Georgia" w:hAnsi="Georgia"/>
                <w:sz w:val="20"/>
                <w:szCs w:val="20"/>
              </w:rPr>
              <w:t xml:space="preserve"> </w:t>
            </w:r>
          </w:p>
          <w:p w:rsidR="00F646A9" w:rsidRPr="003B630E" w:rsidRDefault="00694929" w:rsidP="005D4165">
            <w:pPr>
              <w:rPr>
                <w:rStyle w:val="st"/>
                <w:rFonts w:ascii="Georgia" w:hAnsi="Georgia"/>
                <w:sz w:val="20"/>
                <w:szCs w:val="20"/>
              </w:rPr>
            </w:pPr>
            <w:r w:rsidRPr="00FC537D">
              <w:rPr>
                <w:rStyle w:val="st"/>
                <w:rFonts w:ascii="Georgia" w:hAnsi="Georgia"/>
                <w:sz w:val="20"/>
                <w:szCs w:val="20"/>
              </w:rPr>
              <w:t xml:space="preserve">How about hiring? The latest Department of Labor employment snapshot showed </w:t>
            </w:r>
            <w:r w:rsidRPr="00FC537D">
              <w:rPr>
                <w:rStyle w:val="st"/>
                <w:rFonts w:ascii="Georgia" w:hAnsi="Georgia"/>
                <w:sz w:val="20"/>
                <w:szCs w:val="20"/>
              </w:rPr>
              <w:t xml:space="preserve">a net gain of 228,000 jobs during November, with yearly wage growth of 2.5%. With hurricanes and floods no longer impeding payroll gains, October-November 2017 was the best two-month hiring period </w:t>
            </w:r>
            <w:r>
              <w:rPr>
                <w:rStyle w:val="st"/>
                <w:rFonts w:ascii="Georgia" w:hAnsi="Georgia"/>
                <w:sz w:val="20"/>
                <w:szCs w:val="20"/>
              </w:rPr>
              <w:t xml:space="preserve">since </w:t>
            </w:r>
            <w:r w:rsidRPr="003B630E">
              <w:rPr>
                <w:rStyle w:val="st"/>
                <w:rFonts w:ascii="Georgia" w:hAnsi="Georgia"/>
                <w:sz w:val="20"/>
                <w:szCs w:val="20"/>
              </w:rPr>
              <w:t>mid-2016</w:t>
            </w:r>
            <w:r w:rsidRPr="003B630E">
              <w:rPr>
                <w:rStyle w:val="st"/>
                <w:rFonts w:ascii="Georgia" w:hAnsi="Georgia"/>
                <w:sz w:val="20"/>
                <w:szCs w:val="20"/>
              </w:rPr>
              <w:t xml:space="preserve"> (companies added a net 244,000 workers in th</w:t>
            </w:r>
            <w:r w:rsidRPr="003B630E">
              <w:rPr>
                <w:rStyle w:val="st"/>
                <w:rFonts w:ascii="Georgia" w:hAnsi="Georgia"/>
                <w:sz w:val="20"/>
                <w:szCs w:val="20"/>
              </w:rPr>
              <w:t>e year’s tenth month).</w:t>
            </w:r>
            <w:r w:rsidRPr="003B630E">
              <w:rPr>
                <w:rStyle w:val="st"/>
                <w:rFonts w:ascii="Georgia" w:hAnsi="Georgia"/>
                <w:sz w:val="20"/>
                <w:szCs w:val="20"/>
                <w:vertAlign w:val="superscript"/>
              </w:rPr>
              <w:t xml:space="preserve"> </w:t>
            </w:r>
            <w:r w:rsidRPr="003B630E">
              <w:rPr>
                <w:rStyle w:val="st"/>
                <w:rFonts w:ascii="Georgia" w:hAnsi="Georgia"/>
                <w:sz w:val="20"/>
                <w:szCs w:val="20"/>
              </w:rPr>
              <w:t xml:space="preserve">Headline unemployment remained at 4.1%, </w:t>
            </w:r>
            <w:r w:rsidRPr="003B630E">
              <w:rPr>
                <w:rStyle w:val="st"/>
                <w:rFonts w:ascii="Georgia" w:hAnsi="Georgia"/>
                <w:sz w:val="20"/>
                <w:szCs w:val="20"/>
              </w:rPr>
              <w:t>and</w:t>
            </w:r>
            <w:r w:rsidRPr="003B630E">
              <w:rPr>
                <w:rStyle w:val="st"/>
                <w:rFonts w:ascii="Georgia" w:hAnsi="Georgia"/>
                <w:sz w:val="20"/>
                <w:szCs w:val="20"/>
              </w:rPr>
              <w:t xml:space="preserve"> the U-6 rate (unemployed + underemployed) </w:t>
            </w:r>
            <w:r w:rsidRPr="003B630E">
              <w:rPr>
                <w:rStyle w:val="st"/>
                <w:rFonts w:ascii="Georgia" w:hAnsi="Georgia"/>
                <w:sz w:val="20"/>
                <w:szCs w:val="20"/>
              </w:rPr>
              <w:t xml:space="preserve">was </w:t>
            </w:r>
            <w:r w:rsidRPr="003B630E">
              <w:rPr>
                <w:rStyle w:val="st"/>
                <w:rFonts w:ascii="Georgia" w:hAnsi="Georgia"/>
                <w:sz w:val="20"/>
                <w:szCs w:val="20"/>
              </w:rPr>
              <w:t>0.1% higher at 8.0%.</w:t>
            </w:r>
            <w:r>
              <w:rPr>
                <w:rStyle w:val="st"/>
                <w:rFonts w:ascii="Georgia" w:hAnsi="Georgia"/>
                <w:sz w:val="20"/>
                <w:szCs w:val="20"/>
                <w:vertAlign w:val="superscript"/>
              </w:rPr>
              <w:t>3,</w:t>
            </w:r>
            <w:r w:rsidRPr="003B630E">
              <w:rPr>
                <w:rStyle w:val="st"/>
                <w:rFonts w:ascii="Georgia" w:hAnsi="Georgia"/>
                <w:sz w:val="20"/>
                <w:szCs w:val="20"/>
                <w:vertAlign w:val="superscript"/>
              </w:rPr>
              <w:t>7</w:t>
            </w:r>
            <w:r w:rsidRPr="003B630E">
              <w:rPr>
                <w:rStyle w:val="st"/>
                <w:rFonts w:ascii="Georgia" w:hAnsi="Georgia"/>
                <w:sz w:val="20"/>
                <w:szCs w:val="20"/>
              </w:rPr>
              <w:t xml:space="preserve"> </w:t>
            </w:r>
          </w:p>
          <w:p w:rsidR="00257BB5" w:rsidRPr="003B630E" w:rsidRDefault="00694929" w:rsidP="007502C2">
            <w:pPr>
              <w:rPr>
                <w:rStyle w:val="st"/>
                <w:rFonts w:ascii="Georgia" w:hAnsi="Georgia"/>
                <w:sz w:val="20"/>
                <w:szCs w:val="20"/>
              </w:rPr>
            </w:pPr>
            <w:r w:rsidRPr="003B630E">
              <w:rPr>
                <w:rStyle w:val="st"/>
                <w:rFonts w:ascii="Georgia" w:hAnsi="Georgia"/>
                <w:sz w:val="20"/>
                <w:szCs w:val="20"/>
              </w:rPr>
              <w:t xml:space="preserve">  </w:t>
            </w:r>
            <w:r w:rsidRPr="003B630E">
              <w:rPr>
                <w:rStyle w:val="st"/>
                <w:rFonts w:ascii="Georgia" w:hAnsi="Georgia"/>
                <w:sz w:val="20"/>
                <w:szCs w:val="20"/>
              </w:rPr>
              <w:t xml:space="preserve">  </w:t>
            </w:r>
          </w:p>
          <w:p w:rsidR="006F23E7" w:rsidRPr="00B721AE" w:rsidRDefault="00694929" w:rsidP="005D4165">
            <w:pPr>
              <w:rPr>
                <w:rStyle w:val="st"/>
                <w:rFonts w:ascii="Georgia" w:hAnsi="Georgia"/>
                <w:sz w:val="20"/>
                <w:szCs w:val="20"/>
              </w:rPr>
            </w:pPr>
            <w:r w:rsidRPr="003B630E">
              <w:rPr>
                <w:rStyle w:val="st"/>
                <w:rFonts w:ascii="Georgia" w:hAnsi="Georgia"/>
                <w:sz w:val="20"/>
                <w:szCs w:val="20"/>
              </w:rPr>
              <w:lastRenderedPageBreak/>
              <w:t>Headline and core inflation diverged</w:t>
            </w:r>
            <w:r w:rsidRPr="003B630E">
              <w:rPr>
                <w:rStyle w:val="st"/>
                <w:rFonts w:ascii="Georgia" w:hAnsi="Georgia"/>
                <w:sz w:val="20"/>
                <w:szCs w:val="20"/>
              </w:rPr>
              <w:t xml:space="preserve"> in November</w:t>
            </w:r>
            <w:r w:rsidRPr="003B630E">
              <w:rPr>
                <w:rStyle w:val="st"/>
                <w:rFonts w:ascii="Georgia" w:hAnsi="Georgia"/>
                <w:sz w:val="20"/>
                <w:szCs w:val="20"/>
              </w:rPr>
              <w:t xml:space="preserve">: the main Consumer Price Index climbed 0.4%, yet the core CPI </w:t>
            </w:r>
            <w:r w:rsidRPr="003B630E">
              <w:rPr>
                <w:rStyle w:val="st"/>
                <w:rFonts w:ascii="Georgia" w:hAnsi="Georgia"/>
                <w:sz w:val="20"/>
                <w:szCs w:val="20"/>
              </w:rPr>
              <w:t>(minus energy and food prices) gained but 0.1%. For the year ending in November, the core CPI advanced only 1.7%</w:t>
            </w:r>
            <w:r>
              <w:rPr>
                <w:rStyle w:val="st"/>
                <w:rFonts w:ascii="Georgia" w:hAnsi="Georgia"/>
                <w:sz w:val="20"/>
                <w:szCs w:val="20"/>
              </w:rPr>
              <w:t>;</w:t>
            </w:r>
            <w:r w:rsidRPr="003B630E">
              <w:rPr>
                <w:rStyle w:val="st"/>
                <w:rFonts w:ascii="Georgia" w:hAnsi="Georgia"/>
                <w:sz w:val="20"/>
                <w:szCs w:val="20"/>
              </w:rPr>
              <w:t xml:space="preserve"> the headline CPI</w:t>
            </w:r>
            <w:r>
              <w:rPr>
                <w:rStyle w:val="st"/>
                <w:rFonts w:ascii="Georgia" w:hAnsi="Georgia"/>
                <w:sz w:val="20"/>
                <w:szCs w:val="20"/>
              </w:rPr>
              <w:t>,</w:t>
            </w:r>
            <w:r w:rsidRPr="003B630E">
              <w:rPr>
                <w:rStyle w:val="st"/>
                <w:rFonts w:ascii="Georgia" w:hAnsi="Georgia"/>
                <w:sz w:val="20"/>
                <w:szCs w:val="20"/>
              </w:rPr>
              <w:t xml:space="preserve"> 2.2%</w:t>
            </w:r>
            <w:r w:rsidRPr="00B721AE">
              <w:rPr>
                <w:rStyle w:val="st"/>
                <w:rFonts w:ascii="Georgia" w:hAnsi="Georgia"/>
                <w:sz w:val="20"/>
                <w:szCs w:val="20"/>
              </w:rPr>
              <w:t>.</w:t>
            </w:r>
            <w:r w:rsidRPr="00B721AE">
              <w:rPr>
                <w:rStyle w:val="st"/>
                <w:rFonts w:ascii="Georgia" w:hAnsi="Georgia"/>
                <w:sz w:val="20"/>
                <w:szCs w:val="20"/>
                <w:vertAlign w:val="superscript"/>
              </w:rPr>
              <w:t>8</w:t>
            </w:r>
            <w:r w:rsidRPr="00B721AE">
              <w:rPr>
                <w:rStyle w:val="st"/>
                <w:rFonts w:ascii="Georgia" w:hAnsi="Georgia"/>
                <w:sz w:val="20"/>
                <w:szCs w:val="20"/>
              </w:rPr>
              <w:t xml:space="preserve"> </w:t>
            </w:r>
          </w:p>
          <w:p w:rsidR="006F23E7" w:rsidRPr="00B721AE" w:rsidRDefault="00694929" w:rsidP="005D4165">
            <w:pPr>
              <w:rPr>
                <w:rStyle w:val="st"/>
                <w:rFonts w:ascii="Georgia" w:hAnsi="Georgia"/>
                <w:sz w:val="20"/>
                <w:szCs w:val="20"/>
              </w:rPr>
            </w:pPr>
            <w:r w:rsidRPr="00B721AE">
              <w:rPr>
                <w:rStyle w:val="st"/>
                <w:rFonts w:ascii="Georgia" w:hAnsi="Georgia"/>
                <w:sz w:val="20"/>
                <w:szCs w:val="20"/>
              </w:rPr>
              <w:t xml:space="preserve"> </w:t>
            </w:r>
            <w:r w:rsidRPr="00B721AE">
              <w:rPr>
                <w:rStyle w:val="st"/>
                <w:rFonts w:ascii="Georgia" w:hAnsi="Georgia"/>
                <w:sz w:val="20"/>
                <w:szCs w:val="20"/>
              </w:rPr>
              <w:t xml:space="preserve"> </w:t>
            </w:r>
          </w:p>
          <w:p w:rsidR="00245D8E" w:rsidRPr="00C0142E" w:rsidRDefault="00694929" w:rsidP="005D4165">
            <w:pPr>
              <w:rPr>
                <w:rFonts w:ascii="Georgia" w:hAnsi="Georgia"/>
                <w:sz w:val="20"/>
                <w:szCs w:val="20"/>
              </w:rPr>
            </w:pPr>
            <w:r w:rsidRPr="00B721AE">
              <w:rPr>
                <w:rFonts w:ascii="Georgia" w:hAnsi="Georgia"/>
                <w:b/>
              </w:rPr>
              <w:t>GLOBAL ECONO</w:t>
            </w:r>
            <w:r w:rsidRPr="00C915CF">
              <w:rPr>
                <w:rFonts w:ascii="Georgia" w:hAnsi="Georgia"/>
                <w:b/>
              </w:rPr>
              <w:t>MIC HEALTH</w:t>
            </w:r>
            <w:r w:rsidRPr="00C915CF">
              <w:rPr>
                <w:rFonts w:ascii="Georgia" w:hAnsi="Georgia"/>
                <w:b/>
              </w:rPr>
              <w:br/>
            </w:r>
            <w:r w:rsidRPr="00C915CF">
              <w:rPr>
                <w:rFonts w:ascii="Georgia" w:hAnsi="Georgia"/>
                <w:sz w:val="20"/>
                <w:szCs w:val="20"/>
              </w:rPr>
              <w:t>A</w:t>
            </w:r>
            <w:r>
              <w:rPr>
                <w:rFonts w:ascii="Georgia" w:hAnsi="Georgia"/>
                <w:sz w:val="20"/>
                <w:szCs w:val="20"/>
              </w:rPr>
              <w:t>s</w:t>
            </w:r>
            <w:r w:rsidRPr="00C915CF">
              <w:rPr>
                <w:rFonts w:ascii="Georgia" w:hAnsi="Georgia"/>
                <w:sz w:val="20"/>
                <w:szCs w:val="20"/>
              </w:rPr>
              <w:t xml:space="preserve"> 2017</w:t>
            </w:r>
            <w:r>
              <w:rPr>
                <w:rFonts w:ascii="Georgia" w:hAnsi="Georgia"/>
                <w:sz w:val="20"/>
                <w:szCs w:val="20"/>
              </w:rPr>
              <w:t xml:space="preserve"> ended</w:t>
            </w:r>
            <w:r w:rsidRPr="00C915CF">
              <w:rPr>
                <w:rFonts w:ascii="Georgia" w:hAnsi="Georgia"/>
                <w:sz w:val="20"/>
                <w:szCs w:val="20"/>
              </w:rPr>
              <w:t xml:space="preserve">, the </w:t>
            </w:r>
            <w:r>
              <w:rPr>
                <w:rFonts w:ascii="Georgia" w:hAnsi="Georgia"/>
                <w:sz w:val="20"/>
                <w:szCs w:val="20"/>
              </w:rPr>
              <w:t>European Union’s</w:t>
            </w:r>
            <w:r w:rsidRPr="00C915CF">
              <w:rPr>
                <w:rFonts w:ascii="Georgia" w:hAnsi="Georgia"/>
                <w:sz w:val="20"/>
                <w:szCs w:val="20"/>
              </w:rPr>
              <w:t xml:space="preserve"> economy appeared to be stronger than it had been in so</w:t>
            </w:r>
            <w:r w:rsidRPr="00C45B38">
              <w:rPr>
                <w:rFonts w:ascii="Georgia" w:hAnsi="Georgia"/>
                <w:sz w:val="20"/>
                <w:szCs w:val="20"/>
              </w:rPr>
              <w:t xml:space="preserve">me </w:t>
            </w:r>
            <w:r w:rsidRPr="00801C5F">
              <w:rPr>
                <w:rFonts w:ascii="Georgia" w:hAnsi="Georgia"/>
                <w:sz w:val="20"/>
                <w:szCs w:val="20"/>
              </w:rPr>
              <w:t>time. Its annual GDP was running at 2.5% through the third quarter, its jobless rate had fallen to 7.4% as of October,</w:t>
            </w:r>
            <w:r w:rsidRPr="00801C5F">
              <w:rPr>
                <w:rFonts w:ascii="Georgia" w:hAnsi="Georgia"/>
                <w:sz w:val="20"/>
                <w:szCs w:val="20"/>
              </w:rPr>
              <w:t xml:space="preserve"> </w:t>
            </w:r>
            <w:r w:rsidRPr="00801C5F">
              <w:rPr>
                <w:rFonts w:ascii="Georgia" w:hAnsi="Georgia"/>
                <w:sz w:val="20"/>
                <w:szCs w:val="20"/>
              </w:rPr>
              <w:t>and</w:t>
            </w:r>
            <w:r w:rsidRPr="00801C5F">
              <w:rPr>
                <w:rFonts w:ascii="Georgia" w:hAnsi="Georgia"/>
                <w:sz w:val="20"/>
                <w:szCs w:val="20"/>
              </w:rPr>
              <w:t xml:space="preserve"> annual</w:t>
            </w:r>
            <w:r w:rsidRPr="00801C5F">
              <w:rPr>
                <w:rFonts w:ascii="Georgia" w:hAnsi="Georgia"/>
                <w:sz w:val="20"/>
                <w:szCs w:val="20"/>
              </w:rPr>
              <w:t xml:space="preserve"> </w:t>
            </w:r>
            <w:r w:rsidRPr="00801C5F">
              <w:rPr>
                <w:rFonts w:ascii="Georgia" w:hAnsi="Georgia"/>
                <w:sz w:val="20"/>
                <w:szCs w:val="20"/>
              </w:rPr>
              <w:t xml:space="preserve">inflation was at 1.8% in November. </w:t>
            </w:r>
            <w:r>
              <w:rPr>
                <w:rFonts w:ascii="Georgia" w:hAnsi="Georgia"/>
                <w:sz w:val="20"/>
                <w:szCs w:val="20"/>
              </w:rPr>
              <w:t xml:space="preserve">Recent developments affirm that the sovereign debt crisis is in the rear-view mirror. </w:t>
            </w:r>
            <w:r w:rsidRPr="00801C5F">
              <w:rPr>
                <w:rFonts w:ascii="Georgia" w:hAnsi="Georgia"/>
                <w:sz w:val="20"/>
                <w:szCs w:val="20"/>
              </w:rPr>
              <w:t>Bu</w:t>
            </w:r>
            <w:r w:rsidRPr="00801C5F">
              <w:rPr>
                <w:rFonts w:ascii="Georgia" w:hAnsi="Georgia"/>
                <w:sz w:val="20"/>
                <w:szCs w:val="20"/>
              </w:rPr>
              <w:t xml:space="preserve">rdened Greece finally had its credit rating upgraded by Fitch and Moody’s. Standard &amp; Poor’s lifted Portugal’s credit rating </w:t>
            </w:r>
            <w:r w:rsidRPr="00C0142E">
              <w:rPr>
                <w:rFonts w:ascii="Georgia" w:hAnsi="Georgia"/>
                <w:sz w:val="20"/>
                <w:szCs w:val="20"/>
              </w:rPr>
              <w:t>from “junk” back to investment grade for the first time since 2012 and raised Italy’s credit rating for the first time since the 19</w:t>
            </w:r>
            <w:r w:rsidRPr="00C0142E">
              <w:rPr>
                <w:rFonts w:ascii="Georgia" w:hAnsi="Georgia"/>
                <w:sz w:val="20"/>
                <w:szCs w:val="20"/>
              </w:rPr>
              <w:t>80s</w:t>
            </w:r>
            <w:r w:rsidRPr="00C0142E">
              <w:rPr>
                <w:rFonts w:ascii="Georgia" w:hAnsi="Georgia"/>
                <w:sz w:val="20"/>
                <w:szCs w:val="20"/>
              </w:rPr>
              <w:t>.</w:t>
            </w:r>
            <w:r w:rsidRPr="00C0142E">
              <w:rPr>
                <w:rFonts w:ascii="Georgia" w:hAnsi="Georgia"/>
                <w:sz w:val="20"/>
                <w:szCs w:val="20"/>
              </w:rPr>
              <w:t xml:space="preserve"> Even with the Brexit hanging over the eurozone’s collective head, journalists </w:t>
            </w:r>
            <w:r>
              <w:rPr>
                <w:rFonts w:ascii="Georgia" w:hAnsi="Georgia"/>
                <w:sz w:val="20"/>
                <w:szCs w:val="20"/>
              </w:rPr>
              <w:t xml:space="preserve">and other observers </w:t>
            </w:r>
            <w:r w:rsidRPr="00C0142E">
              <w:rPr>
                <w:rFonts w:ascii="Georgia" w:hAnsi="Georgia"/>
                <w:sz w:val="20"/>
                <w:szCs w:val="20"/>
              </w:rPr>
              <w:t>took to calling 2017 the year of the “euroboom.”</w:t>
            </w:r>
            <w:r w:rsidRPr="00C0142E">
              <w:rPr>
                <w:rFonts w:ascii="Georgia" w:hAnsi="Georgia"/>
                <w:sz w:val="20"/>
                <w:szCs w:val="20"/>
                <w:vertAlign w:val="superscript"/>
              </w:rPr>
              <w:t>9</w:t>
            </w:r>
            <w:r w:rsidRPr="00C0142E">
              <w:rPr>
                <w:rFonts w:ascii="Georgia" w:hAnsi="Georgia"/>
                <w:sz w:val="20"/>
                <w:szCs w:val="20"/>
                <w:vertAlign w:val="superscript"/>
              </w:rPr>
              <w:t>,10</w:t>
            </w:r>
          </w:p>
          <w:p w:rsidR="00245D8E" w:rsidRPr="00C0142E" w:rsidRDefault="00694929" w:rsidP="005D4165">
            <w:pPr>
              <w:rPr>
                <w:rFonts w:ascii="Georgia" w:hAnsi="Georgia"/>
                <w:sz w:val="20"/>
                <w:szCs w:val="20"/>
              </w:rPr>
            </w:pPr>
            <w:r w:rsidRPr="00C0142E">
              <w:rPr>
                <w:rFonts w:ascii="Georgia" w:hAnsi="Georgia"/>
                <w:sz w:val="20"/>
                <w:szCs w:val="20"/>
              </w:rPr>
              <w:t xml:space="preserve"> </w:t>
            </w:r>
            <w:r w:rsidRPr="00C0142E">
              <w:rPr>
                <w:rFonts w:ascii="Georgia" w:hAnsi="Georgia"/>
                <w:sz w:val="20"/>
                <w:szCs w:val="20"/>
              </w:rPr>
              <w:t xml:space="preserve"> </w:t>
            </w:r>
            <w:r w:rsidRPr="00C0142E">
              <w:rPr>
                <w:rFonts w:ascii="Georgia" w:hAnsi="Georgia"/>
                <w:sz w:val="20"/>
                <w:szCs w:val="20"/>
              </w:rPr>
              <w:t xml:space="preserve"> </w:t>
            </w:r>
            <w:r w:rsidRPr="00C0142E">
              <w:rPr>
                <w:rFonts w:ascii="Georgia" w:hAnsi="Georgia"/>
                <w:sz w:val="20"/>
                <w:szCs w:val="20"/>
              </w:rPr>
              <w:t xml:space="preserve"> </w:t>
            </w:r>
          </w:p>
          <w:p w:rsidR="00245D8E" w:rsidRPr="008B4F9C" w:rsidRDefault="00694929" w:rsidP="005D4165">
            <w:pPr>
              <w:rPr>
                <w:rFonts w:ascii="Georgia" w:hAnsi="Georgia"/>
                <w:color w:val="002060"/>
                <w:sz w:val="20"/>
                <w:szCs w:val="20"/>
              </w:rPr>
            </w:pPr>
            <w:r w:rsidRPr="00C0142E">
              <w:rPr>
                <w:rFonts w:ascii="Georgia" w:hAnsi="Georgia"/>
                <w:sz w:val="20"/>
                <w:szCs w:val="20"/>
              </w:rPr>
              <w:t xml:space="preserve">While </w:t>
            </w:r>
            <w:r w:rsidRPr="00C0142E">
              <w:rPr>
                <w:rFonts w:ascii="Georgia" w:hAnsi="Georgia"/>
                <w:sz w:val="20"/>
                <w:szCs w:val="20"/>
              </w:rPr>
              <w:t xml:space="preserve">November reports on </w:t>
            </w:r>
            <w:r>
              <w:rPr>
                <w:rFonts w:ascii="Georgia" w:hAnsi="Georgia"/>
                <w:sz w:val="20"/>
                <w:szCs w:val="20"/>
              </w:rPr>
              <w:t>China’s</w:t>
            </w:r>
            <w:r w:rsidRPr="00C0142E">
              <w:rPr>
                <w:rFonts w:ascii="Georgia" w:hAnsi="Georgia"/>
                <w:sz w:val="20"/>
                <w:szCs w:val="20"/>
              </w:rPr>
              <w:t xml:space="preserve"> factory production</w:t>
            </w:r>
            <w:r w:rsidRPr="00C0142E">
              <w:rPr>
                <w:rFonts w:ascii="Georgia" w:hAnsi="Georgia"/>
                <w:sz w:val="20"/>
                <w:szCs w:val="20"/>
              </w:rPr>
              <w:t>, business investment</w:t>
            </w:r>
            <w:r>
              <w:rPr>
                <w:rFonts w:ascii="Georgia" w:hAnsi="Georgia"/>
                <w:sz w:val="20"/>
                <w:szCs w:val="20"/>
              </w:rPr>
              <w:t>,</w:t>
            </w:r>
            <w:r w:rsidRPr="00C0142E">
              <w:rPr>
                <w:rFonts w:ascii="Georgia" w:hAnsi="Georgia"/>
                <w:sz w:val="20"/>
                <w:szCs w:val="20"/>
              </w:rPr>
              <w:t xml:space="preserve"> and housing fell short of analyst expectations, its official manufacturing PMI did match the </w:t>
            </w:r>
            <w:r w:rsidRPr="00C0142E">
              <w:rPr>
                <w:rFonts w:ascii="Georgia" w:hAnsi="Georgia"/>
                <w:sz w:val="20"/>
                <w:szCs w:val="20"/>
              </w:rPr>
              <w:t xml:space="preserve">decent </w:t>
            </w:r>
            <w:r w:rsidRPr="00C0142E">
              <w:rPr>
                <w:rFonts w:ascii="Georgia" w:hAnsi="Georgia"/>
                <w:sz w:val="20"/>
                <w:szCs w:val="20"/>
              </w:rPr>
              <w:t xml:space="preserve">51.6 forecast </w:t>
            </w:r>
            <w:r>
              <w:rPr>
                <w:rFonts w:ascii="Georgia" w:hAnsi="Georgia"/>
                <w:sz w:val="20"/>
                <w:szCs w:val="20"/>
              </w:rPr>
              <w:t>of</w:t>
            </w:r>
            <w:r w:rsidRPr="00CC3236">
              <w:rPr>
                <w:rFonts w:ascii="Georgia" w:hAnsi="Georgia"/>
                <w:sz w:val="20"/>
                <w:szCs w:val="20"/>
              </w:rPr>
              <w:t xml:space="preserve"> economists surveyed by Reuters</w:t>
            </w:r>
            <w:r w:rsidRPr="00CC3236">
              <w:rPr>
                <w:rFonts w:ascii="Georgia" w:hAnsi="Georgia"/>
                <w:sz w:val="20"/>
                <w:szCs w:val="20"/>
              </w:rPr>
              <w:t>.</w:t>
            </w:r>
            <w:r w:rsidRPr="00CC3236">
              <w:rPr>
                <w:rFonts w:ascii="Georgia" w:hAnsi="Georgia"/>
                <w:sz w:val="20"/>
                <w:szCs w:val="20"/>
              </w:rPr>
              <w:t xml:space="preserve"> </w:t>
            </w:r>
            <w:r w:rsidRPr="00CC3236">
              <w:rPr>
                <w:rFonts w:ascii="Georgia" w:hAnsi="Georgia"/>
                <w:sz w:val="20"/>
                <w:szCs w:val="20"/>
              </w:rPr>
              <w:t xml:space="preserve">China’s official Q3 GDP reading was released: 6.9%, </w:t>
            </w:r>
            <w:r>
              <w:rPr>
                <w:rFonts w:ascii="Georgia" w:hAnsi="Georgia"/>
                <w:sz w:val="20"/>
                <w:szCs w:val="20"/>
              </w:rPr>
              <w:t>topping</w:t>
            </w:r>
            <w:r w:rsidRPr="00CC3236">
              <w:rPr>
                <w:rFonts w:ascii="Georgia" w:hAnsi="Georgia"/>
                <w:sz w:val="20"/>
                <w:szCs w:val="20"/>
              </w:rPr>
              <w:t xml:space="preserve"> government projections. </w:t>
            </w:r>
            <w:r>
              <w:rPr>
                <w:rFonts w:ascii="Georgia" w:hAnsi="Georgia"/>
                <w:sz w:val="20"/>
                <w:szCs w:val="20"/>
              </w:rPr>
              <w:t>I</w:t>
            </w:r>
            <w:r w:rsidRPr="00CC3236">
              <w:rPr>
                <w:rFonts w:ascii="Georgia" w:hAnsi="Georgia"/>
                <w:sz w:val="20"/>
                <w:szCs w:val="20"/>
              </w:rPr>
              <w:t xml:space="preserve">n India, </w:t>
            </w:r>
            <w:r>
              <w:rPr>
                <w:rFonts w:ascii="Georgia" w:hAnsi="Georgia"/>
                <w:sz w:val="20"/>
                <w:szCs w:val="20"/>
              </w:rPr>
              <w:t>a</w:t>
            </w:r>
            <w:r w:rsidRPr="00CC3236">
              <w:rPr>
                <w:rFonts w:ascii="Georgia" w:hAnsi="Georgia"/>
                <w:sz w:val="20"/>
                <w:szCs w:val="20"/>
              </w:rPr>
              <w:t xml:space="preserve"> rough economic year </w:t>
            </w:r>
            <w:r>
              <w:rPr>
                <w:rFonts w:ascii="Georgia" w:hAnsi="Georgia"/>
                <w:sz w:val="20"/>
                <w:szCs w:val="20"/>
              </w:rPr>
              <w:t>ended:</w:t>
            </w:r>
            <w:r w:rsidRPr="00CC3236">
              <w:rPr>
                <w:rFonts w:ascii="Georgia" w:hAnsi="Georgia"/>
                <w:sz w:val="20"/>
                <w:szCs w:val="20"/>
              </w:rPr>
              <w:t xml:space="preserve"> a lingering cash shortage and </w:t>
            </w:r>
            <w:r>
              <w:rPr>
                <w:rFonts w:ascii="Georgia" w:hAnsi="Georgia"/>
                <w:sz w:val="20"/>
                <w:szCs w:val="20"/>
              </w:rPr>
              <w:t xml:space="preserve">a stumbling application of </w:t>
            </w:r>
            <w:r w:rsidRPr="00CC3236">
              <w:rPr>
                <w:rFonts w:ascii="Georgia" w:hAnsi="Georgia"/>
                <w:sz w:val="20"/>
                <w:szCs w:val="20"/>
              </w:rPr>
              <w:t>tax reforms helped drive</w:t>
            </w:r>
            <w:r>
              <w:rPr>
                <w:rFonts w:ascii="Georgia" w:hAnsi="Georgia"/>
                <w:sz w:val="20"/>
                <w:szCs w:val="20"/>
              </w:rPr>
              <w:t xml:space="preserve"> the nation’s</w:t>
            </w:r>
            <w:r w:rsidRPr="00CC3236">
              <w:rPr>
                <w:rFonts w:ascii="Georgia" w:hAnsi="Georgia"/>
                <w:sz w:val="20"/>
                <w:szCs w:val="20"/>
              </w:rPr>
              <w:t xml:space="preserve"> annualized GDP down </w:t>
            </w:r>
            <w:r>
              <w:rPr>
                <w:rFonts w:ascii="Georgia" w:hAnsi="Georgia"/>
                <w:sz w:val="20"/>
                <w:szCs w:val="20"/>
              </w:rPr>
              <w:t>below 6% at one juncture</w:t>
            </w:r>
            <w:r w:rsidRPr="00CC3236">
              <w:rPr>
                <w:rFonts w:ascii="Georgia" w:hAnsi="Georgia"/>
                <w:sz w:val="20"/>
                <w:szCs w:val="20"/>
              </w:rPr>
              <w:t>.</w:t>
            </w:r>
            <w:r w:rsidRPr="00CC3236">
              <w:rPr>
                <w:rFonts w:ascii="Georgia" w:hAnsi="Georgia"/>
                <w:sz w:val="20"/>
                <w:szCs w:val="20"/>
              </w:rPr>
              <w:t xml:space="preserve"> </w:t>
            </w:r>
            <w:r>
              <w:rPr>
                <w:rFonts w:ascii="Georgia" w:hAnsi="Georgia"/>
                <w:sz w:val="20"/>
                <w:szCs w:val="20"/>
              </w:rPr>
              <w:t xml:space="preserve">(Economic growth had nearly reached 8% in 2016.) </w:t>
            </w:r>
            <w:r w:rsidRPr="00CC3236">
              <w:rPr>
                <w:rFonts w:ascii="Georgia" w:hAnsi="Georgia"/>
                <w:sz w:val="20"/>
                <w:szCs w:val="20"/>
              </w:rPr>
              <w:t xml:space="preserve">The </w:t>
            </w:r>
            <w:r w:rsidRPr="00CC3236">
              <w:rPr>
                <w:rFonts w:ascii="Georgia" w:hAnsi="Georgia"/>
                <w:sz w:val="20"/>
                <w:szCs w:val="20"/>
              </w:rPr>
              <w:t>International Monetary Fund has do</w:t>
            </w:r>
            <w:r w:rsidRPr="00CC3236">
              <w:rPr>
                <w:rFonts w:ascii="Georgia" w:hAnsi="Georgia"/>
                <w:sz w:val="20"/>
                <w:szCs w:val="20"/>
              </w:rPr>
              <w:t>wngraded India’s 2018 growth forecast to 7.4% from 7.7%.</w:t>
            </w:r>
            <w:r w:rsidRPr="00CC3236">
              <w:rPr>
                <w:rFonts w:ascii="Georgia" w:hAnsi="Georgia"/>
                <w:sz w:val="20"/>
                <w:szCs w:val="20"/>
                <w:vertAlign w:val="superscript"/>
              </w:rPr>
              <w:t>1</w:t>
            </w:r>
            <w:r w:rsidRPr="00CC3236">
              <w:rPr>
                <w:rFonts w:ascii="Georgia" w:hAnsi="Georgia"/>
                <w:sz w:val="20"/>
                <w:szCs w:val="20"/>
                <w:vertAlign w:val="superscript"/>
              </w:rPr>
              <w:t>1</w:t>
            </w:r>
            <w:r w:rsidRPr="00CC3236">
              <w:rPr>
                <w:rFonts w:ascii="Georgia" w:hAnsi="Georgia"/>
                <w:sz w:val="20"/>
                <w:szCs w:val="20"/>
                <w:vertAlign w:val="superscript"/>
              </w:rPr>
              <w:t>,12</w:t>
            </w:r>
          </w:p>
          <w:p w:rsidR="00245D8E" w:rsidRPr="008B4F9C" w:rsidRDefault="00694929" w:rsidP="005D4165">
            <w:pPr>
              <w:rPr>
                <w:rFonts w:ascii="Georgia" w:hAnsi="Georgia"/>
                <w:color w:val="002060"/>
                <w:sz w:val="20"/>
                <w:szCs w:val="20"/>
              </w:rPr>
            </w:pPr>
            <w:r w:rsidRPr="008B4F9C">
              <w:rPr>
                <w:rFonts w:ascii="Georgia" w:hAnsi="Georgia"/>
                <w:color w:val="002060"/>
                <w:sz w:val="20"/>
                <w:szCs w:val="20"/>
              </w:rPr>
              <w:t xml:space="preserve">   </w:t>
            </w:r>
          </w:p>
          <w:p w:rsidR="002D7C31" w:rsidRPr="00C0142E" w:rsidRDefault="00694929" w:rsidP="002D7C31">
            <w:pPr>
              <w:pStyle w:val="PlainText"/>
              <w:rPr>
                <w:rFonts w:ascii="Georgia" w:hAnsi="Georgia" w:cs="Courier New"/>
                <w:sz w:val="20"/>
                <w:szCs w:val="20"/>
              </w:rPr>
            </w:pPr>
            <w:r w:rsidRPr="000C15C5">
              <w:rPr>
                <w:rFonts w:ascii="Georgia" w:hAnsi="Georgia"/>
                <w:b/>
                <w:sz w:val="24"/>
                <w:szCs w:val="24"/>
              </w:rPr>
              <w:t>WORLD MARKETS</w:t>
            </w:r>
            <w:r w:rsidRPr="000C15C5">
              <w:rPr>
                <w:rFonts w:ascii="Georgia" w:hAnsi="Georgia"/>
                <w:b/>
                <w:sz w:val="20"/>
                <w:szCs w:val="20"/>
              </w:rPr>
              <w:br/>
            </w:r>
            <w:r w:rsidRPr="000C15C5">
              <w:rPr>
                <w:rFonts w:ascii="Georgia" w:hAnsi="Georgia" w:cs="Courier New"/>
                <w:sz w:val="20"/>
                <w:szCs w:val="20"/>
              </w:rPr>
              <w:t xml:space="preserve">Good news exceeded bad news in December. The MSCI Emerging Markets index </w:t>
            </w:r>
            <w:r w:rsidRPr="000C15C5">
              <w:rPr>
                <w:rFonts w:ascii="Georgia" w:hAnsi="Georgia" w:cs="Courier New"/>
                <w:sz w:val="20"/>
                <w:szCs w:val="20"/>
              </w:rPr>
              <w:t>climbed</w:t>
            </w:r>
            <w:r w:rsidRPr="000C15C5">
              <w:rPr>
                <w:rFonts w:ascii="Georgia" w:hAnsi="Georgia" w:cs="Courier New"/>
                <w:sz w:val="20"/>
                <w:szCs w:val="20"/>
              </w:rPr>
              <w:t xml:space="preserve"> 3.36%, </w:t>
            </w:r>
            <w:r>
              <w:rPr>
                <w:rFonts w:ascii="Georgia" w:hAnsi="Georgia" w:cs="Courier New"/>
                <w:sz w:val="20"/>
                <w:szCs w:val="20"/>
              </w:rPr>
              <w:t>leaving</w:t>
            </w:r>
            <w:r w:rsidRPr="000C15C5">
              <w:rPr>
                <w:rFonts w:ascii="Georgia" w:hAnsi="Georgia" w:cs="Courier New"/>
                <w:sz w:val="20"/>
                <w:szCs w:val="20"/>
              </w:rPr>
              <w:t xml:space="preserve"> its 2017 return </w:t>
            </w:r>
            <w:r>
              <w:rPr>
                <w:rFonts w:ascii="Georgia" w:hAnsi="Georgia" w:cs="Courier New"/>
                <w:sz w:val="20"/>
                <w:szCs w:val="20"/>
              </w:rPr>
              <w:t>at</w:t>
            </w:r>
            <w:r w:rsidRPr="000C15C5">
              <w:rPr>
                <w:rFonts w:ascii="Georgia" w:hAnsi="Georgia" w:cs="Courier New"/>
                <w:sz w:val="20"/>
                <w:szCs w:val="20"/>
              </w:rPr>
              <w:t xml:space="preserve"> a </w:t>
            </w:r>
            <w:r>
              <w:rPr>
                <w:rFonts w:ascii="Georgia" w:hAnsi="Georgia" w:cs="Courier New"/>
                <w:sz w:val="20"/>
                <w:szCs w:val="20"/>
              </w:rPr>
              <w:t>striking</w:t>
            </w:r>
            <w:r w:rsidRPr="000C15C5">
              <w:rPr>
                <w:rFonts w:ascii="Georgia" w:hAnsi="Georgia" w:cs="Courier New"/>
                <w:sz w:val="20"/>
                <w:szCs w:val="20"/>
              </w:rPr>
              <w:t xml:space="preserve"> 34.35%.</w:t>
            </w:r>
            <w:r w:rsidRPr="000C15C5">
              <w:rPr>
                <w:rFonts w:ascii="Georgia" w:hAnsi="Georgia" w:cs="Courier New"/>
                <w:sz w:val="20"/>
                <w:szCs w:val="20"/>
              </w:rPr>
              <w:t xml:space="preserve"> The MSCI World advanced nicely as well – its 1.26% gain</w:t>
            </w:r>
            <w:r w:rsidRPr="000C15C5">
              <w:rPr>
                <w:rFonts w:ascii="Georgia" w:hAnsi="Georgia" w:cs="Courier New"/>
                <w:sz w:val="20"/>
                <w:szCs w:val="20"/>
              </w:rPr>
              <w:t xml:space="preserve"> capped off a 20.11% annual rise.</w:t>
            </w:r>
            <w:r>
              <w:rPr>
                <w:rFonts w:ascii="Georgia" w:hAnsi="Georgia" w:cs="Courier New"/>
                <w:sz w:val="20"/>
                <w:szCs w:val="20"/>
              </w:rPr>
              <w:t xml:space="preserve"> The Americas and the </w:t>
            </w:r>
            <w:r>
              <w:rPr>
                <w:rFonts w:ascii="Georgia" w:hAnsi="Georgia" w:cs="Courier New"/>
                <w:sz w:val="20"/>
                <w:szCs w:val="20"/>
              </w:rPr>
              <w:t>Asia</w:t>
            </w:r>
            <w:r>
              <w:rPr>
                <w:rFonts w:ascii="Georgia" w:hAnsi="Georgia" w:cs="Courier New"/>
                <w:sz w:val="20"/>
                <w:szCs w:val="20"/>
              </w:rPr>
              <w:t>-</w:t>
            </w:r>
            <w:r>
              <w:rPr>
                <w:rFonts w:ascii="Georgia" w:hAnsi="Georgia" w:cs="Courier New"/>
                <w:sz w:val="20"/>
                <w:szCs w:val="20"/>
              </w:rPr>
              <w:t>Pacific region saw many</w:t>
            </w:r>
            <w:r>
              <w:rPr>
                <w:rFonts w:ascii="Georgia" w:hAnsi="Georgia" w:cs="Courier New"/>
                <w:sz w:val="20"/>
                <w:szCs w:val="20"/>
              </w:rPr>
              <w:t xml:space="preserve"> positive moves: a 3.05% gain for Brazil’s Bovespa, a 3.64% rise for Mex</w:t>
            </w:r>
            <w:r w:rsidRPr="000304E4">
              <w:rPr>
                <w:rFonts w:ascii="Georgia" w:hAnsi="Georgia" w:cs="Courier New"/>
                <w:sz w:val="20"/>
                <w:szCs w:val="20"/>
              </w:rPr>
              <w:t xml:space="preserve">ico’s Bolsa, </w:t>
            </w:r>
            <w:r>
              <w:rPr>
                <w:rFonts w:ascii="Georgia" w:hAnsi="Georgia" w:cs="Courier New"/>
                <w:sz w:val="20"/>
                <w:szCs w:val="20"/>
              </w:rPr>
              <w:t xml:space="preserve">and </w:t>
            </w:r>
            <w:r w:rsidRPr="000304E4">
              <w:rPr>
                <w:rFonts w:ascii="Georgia" w:hAnsi="Georgia" w:cs="Courier New"/>
                <w:sz w:val="20"/>
                <w:szCs w:val="20"/>
              </w:rPr>
              <w:t>an 11.38% ju</w:t>
            </w:r>
            <w:r w:rsidRPr="00C0142E">
              <w:rPr>
                <w:rFonts w:ascii="Georgia" w:hAnsi="Georgia" w:cs="Courier New"/>
                <w:sz w:val="20"/>
                <w:szCs w:val="20"/>
              </w:rPr>
              <w:t>mp for Argentina</w:t>
            </w:r>
            <w:r w:rsidRPr="00C0142E">
              <w:rPr>
                <w:rFonts w:ascii="Georgia" w:hAnsi="Georgia" w:cs="Courier New"/>
                <w:sz w:val="20"/>
                <w:szCs w:val="20"/>
              </w:rPr>
              <w:t>’s MERVAL. India’s Nifty 50 added 1.63%</w:t>
            </w:r>
            <w:r>
              <w:rPr>
                <w:rFonts w:ascii="Georgia" w:hAnsi="Georgia" w:cs="Courier New"/>
                <w:sz w:val="20"/>
                <w:szCs w:val="20"/>
              </w:rPr>
              <w:t>;</w:t>
            </w:r>
            <w:r w:rsidRPr="00C0142E">
              <w:rPr>
                <w:rFonts w:ascii="Georgia" w:hAnsi="Georgia" w:cs="Courier New"/>
                <w:sz w:val="20"/>
                <w:szCs w:val="20"/>
              </w:rPr>
              <w:t xml:space="preserve"> Canada’s TSX Composite</w:t>
            </w:r>
            <w:r>
              <w:rPr>
                <w:rFonts w:ascii="Georgia" w:hAnsi="Georgia" w:cs="Courier New"/>
                <w:sz w:val="20"/>
                <w:szCs w:val="20"/>
              </w:rPr>
              <w:t>, 1.51%;</w:t>
            </w:r>
            <w:r w:rsidRPr="00C0142E">
              <w:rPr>
                <w:rFonts w:ascii="Georgia" w:hAnsi="Georgia" w:cs="Courier New"/>
                <w:sz w:val="20"/>
                <w:szCs w:val="20"/>
              </w:rPr>
              <w:t xml:space="preserve"> India’s Sensex</w:t>
            </w:r>
            <w:r>
              <w:rPr>
                <w:rFonts w:ascii="Georgia" w:hAnsi="Georgia" w:cs="Courier New"/>
                <w:sz w:val="20"/>
                <w:szCs w:val="20"/>
              </w:rPr>
              <w:t>,</w:t>
            </w:r>
            <w:r w:rsidRPr="00C0142E">
              <w:rPr>
                <w:rFonts w:ascii="Georgia" w:hAnsi="Georgia" w:cs="Courier New"/>
                <w:sz w:val="20"/>
                <w:szCs w:val="20"/>
              </w:rPr>
              <w:t xml:space="preserve"> 1.35%.</w:t>
            </w:r>
            <w:r w:rsidRPr="00C0142E">
              <w:rPr>
                <w:rFonts w:ascii="Georgia" w:hAnsi="Georgia" w:cs="Courier New"/>
                <w:sz w:val="20"/>
                <w:szCs w:val="20"/>
              </w:rPr>
              <w:t xml:space="preserve"> Australia’s All-Ordinaries gained 1.17%, while Hong Kong’s Hang Seng benchmark rose 1.00%.</w:t>
            </w:r>
            <w:r w:rsidRPr="00C0142E">
              <w:rPr>
                <w:rFonts w:ascii="Georgia" w:hAnsi="Georgia" w:cs="Courier New"/>
                <w:sz w:val="20"/>
                <w:szCs w:val="20"/>
              </w:rPr>
              <w:t xml:space="preserve"> In Japan, the Nikkei 225 improved 0.74%.</w:t>
            </w:r>
            <w:r>
              <w:rPr>
                <w:rFonts w:ascii="Georgia" w:hAnsi="Georgia" w:cs="Courier New"/>
                <w:sz w:val="20"/>
                <w:szCs w:val="20"/>
              </w:rPr>
              <w:t xml:space="preserve"> In Europe, </w:t>
            </w:r>
            <w:r w:rsidRPr="00C0142E">
              <w:rPr>
                <w:rFonts w:ascii="Georgia" w:hAnsi="Georgia" w:cs="Courier New"/>
                <w:sz w:val="20"/>
                <w:szCs w:val="20"/>
              </w:rPr>
              <w:t xml:space="preserve">Contrary to all this, the United </w:t>
            </w:r>
            <w:r w:rsidRPr="00D758E9">
              <w:rPr>
                <w:rFonts w:ascii="Georgia" w:hAnsi="Georgia" w:cs="Courier New"/>
                <w:sz w:val="20"/>
                <w:szCs w:val="20"/>
              </w:rPr>
              <w:t>Kingdom’s FTSE 100 soared 3.98%.</w:t>
            </w:r>
            <w:r w:rsidRPr="00C0142E">
              <w:rPr>
                <w:rFonts w:ascii="Georgia" w:hAnsi="Georgia" w:cs="Courier New"/>
                <w:sz w:val="20"/>
                <w:szCs w:val="20"/>
                <w:vertAlign w:val="superscript"/>
              </w:rPr>
              <w:t>13</w:t>
            </w:r>
            <w:r w:rsidRPr="00C0142E">
              <w:rPr>
                <w:rFonts w:ascii="Georgia" w:hAnsi="Georgia" w:cs="Courier New"/>
                <w:sz w:val="20"/>
                <w:szCs w:val="20"/>
                <w:vertAlign w:val="superscript"/>
              </w:rPr>
              <w:t>,</w:t>
            </w:r>
            <w:r w:rsidRPr="00C0142E">
              <w:rPr>
                <w:rFonts w:ascii="Georgia" w:hAnsi="Georgia" w:cs="Courier New"/>
                <w:sz w:val="20"/>
                <w:szCs w:val="20"/>
                <w:vertAlign w:val="superscript"/>
              </w:rPr>
              <w:t>14</w:t>
            </w:r>
          </w:p>
          <w:p w:rsidR="002D7C31" w:rsidRPr="00C0142E" w:rsidRDefault="00694929" w:rsidP="002D7C31">
            <w:pPr>
              <w:pStyle w:val="PlainText"/>
              <w:rPr>
                <w:rFonts w:ascii="Georgia" w:hAnsi="Georgia" w:cs="Courier New"/>
                <w:sz w:val="20"/>
                <w:szCs w:val="20"/>
              </w:rPr>
            </w:pPr>
            <w:r w:rsidRPr="00C0142E">
              <w:rPr>
                <w:rFonts w:ascii="Georgia" w:hAnsi="Georgia" w:cs="Courier New"/>
                <w:sz w:val="20"/>
                <w:szCs w:val="20"/>
              </w:rPr>
              <w:t xml:space="preserve"> </w:t>
            </w:r>
          </w:p>
          <w:p w:rsidR="00517EEC" w:rsidRPr="00D758E9" w:rsidRDefault="00694929" w:rsidP="00857A0A">
            <w:pPr>
              <w:pStyle w:val="PlainText"/>
              <w:rPr>
                <w:rFonts w:ascii="Georgia" w:hAnsi="Georgia" w:cs="Courier New"/>
                <w:sz w:val="20"/>
                <w:szCs w:val="20"/>
              </w:rPr>
            </w:pPr>
            <w:r w:rsidRPr="00C0142E">
              <w:rPr>
                <w:rFonts w:ascii="Georgia" w:hAnsi="Georgia" w:cs="Courier New"/>
                <w:sz w:val="20"/>
                <w:szCs w:val="20"/>
              </w:rPr>
              <w:t>The month’s notable declines were mainly in Europe – dips of 1.10% for the German DAX, 1.58% for the CAC 40 in France, and 2.18% for Spain’s IBEX 35.</w:t>
            </w:r>
            <w:r w:rsidRPr="00C0142E">
              <w:rPr>
                <w:rFonts w:ascii="Georgia" w:hAnsi="Georgia" w:cs="Courier New"/>
                <w:sz w:val="20"/>
                <w:szCs w:val="20"/>
              </w:rPr>
              <w:t xml:space="preserve"> </w:t>
            </w:r>
            <w:r>
              <w:rPr>
                <w:rFonts w:ascii="Georgia" w:hAnsi="Georgia" w:cs="Courier New"/>
                <w:sz w:val="20"/>
                <w:szCs w:val="20"/>
              </w:rPr>
              <w:t>China’</w:t>
            </w:r>
            <w:r w:rsidRPr="00C0142E">
              <w:rPr>
                <w:rFonts w:ascii="Georgia" w:hAnsi="Georgia" w:cs="Courier New"/>
                <w:sz w:val="20"/>
                <w:szCs w:val="20"/>
              </w:rPr>
              <w:t>s Shanghai Composite los</w:t>
            </w:r>
            <w:r>
              <w:rPr>
                <w:rFonts w:ascii="Georgia" w:hAnsi="Georgia" w:cs="Courier New"/>
                <w:sz w:val="20"/>
                <w:szCs w:val="20"/>
              </w:rPr>
              <w:t xml:space="preserve">t </w:t>
            </w:r>
            <w:r>
              <w:rPr>
                <w:rFonts w:ascii="Georgia" w:hAnsi="Georgia" w:cs="Courier New"/>
                <w:sz w:val="20"/>
                <w:szCs w:val="20"/>
              </w:rPr>
              <w:t>0.90%</w:t>
            </w:r>
            <w:r>
              <w:rPr>
                <w:rFonts w:ascii="Georgia" w:hAnsi="Georgia" w:cs="Courier New"/>
                <w:sz w:val="20"/>
                <w:szCs w:val="20"/>
              </w:rPr>
              <w:t>;</w:t>
            </w:r>
            <w:r>
              <w:rPr>
                <w:rFonts w:ascii="Georgia" w:hAnsi="Georgia" w:cs="Courier New"/>
                <w:sz w:val="20"/>
                <w:szCs w:val="20"/>
              </w:rPr>
              <w:t xml:space="preserve"> Taiwan’s TSE 50</w:t>
            </w:r>
            <w:r>
              <w:rPr>
                <w:rFonts w:ascii="Georgia" w:hAnsi="Georgia" w:cs="Courier New"/>
                <w:sz w:val="20"/>
                <w:szCs w:val="20"/>
              </w:rPr>
              <w:t>,</w:t>
            </w:r>
            <w:r>
              <w:rPr>
                <w:rFonts w:ascii="Georgia" w:hAnsi="Georgia" w:cs="Courier New"/>
                <w:sz w:val="20"/>
                <w:szCs w:val="20"/>
              </w:rPr>
              <w:t xml:space="preserve"> 1.58%</w:t>
            </w:r>
            <w:r>
              <w:rPr>
                <w:rFonts w:ascii="Georgia" w:hAnsi="Georgia" w:cs="Courier New"/>
                <w:sz w:val="20"/>
                <w:szCs w:val="20"/>
              </w:rPr>
              <w:t>,</w:t>
            </w:r>
            <w:r>
              <w:rPr>
                <w:rFonts w:ascii="Georgia" w:hAnsi="Georgia" w:cs="Courier New"/>
                <w:sz w:val="20"/>
                <w:szCs w:val="20"/>
              </w:rPr>
              <w:t xml:space="preserve"> </w:t>
            </w:r>
            <w:r w:rsidRPr="00C0142E">
              <w:rPr>
                <w:rFonts w:ascii="Georgia" w:hAnsi="Georgia" w:cs="Courier New"/>
                <w:sz w:val="20"/>
                <w:szCs w:val="20"/>
              </w:rPr>
              <w:t>South Korea’s Kospi</w:t>
            </w:r>
            <w:r>
              <w:rPr>
                <w:rFonts w:ascii="Georgia" w:hAnsi="Georgia" w:cs="Courier New"/>
                <w:sz w:val="20"/>
                <w:szCs w:val="20"/>
              </w:rPr>
              <w:t>,</w:t>
            </w:r>
            <w:r w:rsidRPr="00C0142E">
              <w:rPr>
                <w:rFonts w:ascii="Georgia" w:hAnsi="Georgia" w:cs="Courier New"/>
                <w:sz w:val="20"/>
                <w:szCs w:val="20"/>
              </w:rPr>
              <w:t xml:space="preserve"> 1.86%.</w:t>
            </w:r>
            <w:r w:rsidRPr="00D758E9">
              <w:rPr>
                <w:rFonts w:ascii="Georgia" w:hAnsi="Georgia" w:cs="Courier New"/>
                <w:sz w:val="20"/>
                <w:szCs w:val="20"/>
                <w:vertAlign w:val="superscript"/>
              </w:rPr>
              <w:t>14</w:t>
            </w:r>
            <w:r w:rsidRPr="00D758E9">
              <w:rPr>
                <w:rFonts w:ascii="Georgia" w:hAnsi="Georgia" w:cs="Courier New"/>
                <w:sz w:val="20"/>
                <w:szCs w:val="20"/>
              </w:rPr>
              <w:t xml:space="preserve"> </w:t>
            </w:r>
          </w:p>
          <w:p w:rsidR="00517EEC" w:rsidRPr="00D758E9" w:rsidRDefault="00694929" w:rsidP="00857A0A">
            <w:pPr>
              <w:pStyle w:val="PlainText"/>
              <w:rPr>
                <w:rFonts w:ascii="Georgia" w:hAnsi="Georgia" w:cs="Courier New"/>
                <w:sz w:val="20"/>
                <w:szCs w:val="20"/>
              </w:rPr>
            </w:pPr>
          </w:p>
          <w:p w:rsidR="00245D8E" w:rsidRPr="00D758E9" w:rsidRDefault="00694929" w:rsidP="00857A0A">
            <w:pPr>
              <w:pStyle w:val="PlainText"/>
              <w:rPr>
                <w:rFonts w:ascii="Georgia" w:hAnsi="Georgia" w:cs="Courier New"/>
                <w:sz w:val="20"/>
                <w:szCs w:val="20"/>
              </w:rPr>
            </w:pPr>
            <w:r w:rsidRPr="00D758E9">
              <w:rPr>
                <w:rFonts w:ascii="Georgia" w:hAnsi="Georgia" w:cs="Courier New"/>
                <w:sz w:val="20"/>
                <w:szCs w:val="20"/>
              </w:rPr>
              <w:t>MSCI</w:t>
            </w:r>
            <w:r w:rsidRPr="00D758E9">
              <w:rPr>
                <w:rFonts w:ascii="Georgia" w:hAnsi="Georgia" w:cs="Courier New"/>
                <w:sz w:val="20"/>
                <w:szCs w:val="20"/>
              </w:rPr>
              <w:t>’s</w:t>
            </w:r>
            <w:r w:rsidRPr="00D758E9">
              <w:rPr>
                <w:rFonts w:ascii="Georgia" w:hAnsi="Georgia" w:cs="Courier New"/>
                <w:sz w:val="20"/>
                <w:szCs w:val="20"/>
              </w:rPr>
              <w:t xml:space="preserve"> Emerging Markets benchmark was </w:t>
            </w:r>
            <w:r w:rsidRPr="00D758E9">
              <w:rPr>
                <w:rFonts w:ascii="Georgia" w:hAnsi="Georgia" w:cs="Courier New"/>
                <w:sz w:val="20"/>
                <w:szCs w:val="20"/>
              </w:rPr>
              <w:t>not</w:t>
            </w:r>
            <w:r w:rsidRPr="00D758E9">
              <w:rPr>
                <w:rFonts w:ascii="Georgia" w:hAnsi="Georgia" w:cs="Courier New"/>
                <w:sz w:val="20"/>
                <w:szCs w:val="20"/>
              </w:rPr>
              <w:t xml:space="preserve"> the only standout of 2017. </w:t>
            </w:r>
            <w:r w:rsidRPr="00D758E9">
              <w:rPr>
                <w:rFonts w:ascii="Georgia" w:hAnsi="Georgia" w:cs="Courier New"/>
                <w:sz w:val="20"/>
                <w:szCs w:val="20"/>
              </w:rPr>
              <w:t xml:space="preserve">The </w:t>
            </w:r>
            <w:r w:rsidRPr="00D758E9">
              <w:rPr>
                <w:rFonts w:ascii="Georgia" w:hAnsi="Georgia" w:cs="Courier New"/>
                <w:sz w:val="20"/>
                <w:szCs w:val="20"/>
              </w:rPr>
              <w:t xml:space="preserve">Hang Seng </w:t>
            </w:r>
            <w:r w:rsidRPr="00D758E9">
              <w:rPr>
                <w:rFonts w:ascii="Georgia" w:hAnsi="Georgia" w:cs="Courier New"/>
                <w:sz w:val="20"/>
                <w:szCs w:val="20"/>
              </w:rPr>
              <w:t>and the MERVAL</w:t>
            </w:r>
            <w:r>
              <w:rPr>
                <w:rFonts w:ascii="Georgia" w:hAnsi="Georgia" w:cs="Courier New"/>
                <w:sz w:val="20"/>
                <w:szCs w:val="20"/>
              </w:rPr>
              <w:t>,</w:t>
            </w:r>
            <w:r w:rsidRPr="00D758E9">
              <w:rPr>
                <w:rFonts w:ascii="Georgia" w:hAnsi="Georgia" w:cs="Courier New"/>
                <w:sz w:val="20"/>
                <w:szCs w:val="20"/>
              </w:rPr>
              <w:t xml:space="preserve"> respectively</w:t>
            </w:r>
            <w:r>
              <w:rPr>
                <w:rFonts w:ascii="Georgia" w:hAnsi="Georgia" w:cs="Courier New"/>
                <w:sz w:val="20"/>
                <w:szCs w:val="20"/>
              </w:rPr>
              <w:t>,</w:t>
            </w:r>
            <w:r w:rsidRPr="00D758E9">
              <w:rPr>
                <w:rFonts w:ascii="Georgia" w:hAnsi="Georgia" w:cs="Courier New"/>
                <w:sz w:val="20"/>
                <w:szCs w:val="20"/>
              </w:rPr>
              <w:t xml:space="preserve"> </w:t>
            </w:r>
            <w:r w:rsidRPr="00D758E9">
              <w:rPr>
                <w:rFonts w:ascii="Georgia" w:hAnsi="Georgia" w:cs="Courier New"/>
                <w:sz w:val="20"/>
                <w:szCs w:val="20"/>
              </w:rPr>
              <w:t xml:space="preserve">returned 37.30% </w:t>
            </w:r>
            <w:r w:rsidRPr="00D758E9">
              <w:rPr>
                <w:rFonts w:ascii="Georgia" w:hAnsi="Georgia" w:cs="Courier New"/>
                <w:sz w:val="20"/>
                <w:szCs w:val="20"/>
              </w:rPr>
              <w:t>and</w:t>
            </w:r>
            <w:r w:rsidRPr="00D758E9">
              <w:rPr>
                <w:rFonts w:ascii="Georgia" w:hAnsi="Georgia" w:cs="Courier New"/>
                <w:sz w:val="20"/>
                <w:szCs w:val="20"/>
              </w:rPr>
              <w:t xml:space="preserve"> </w:t>
            </w:r>
            <w:r w:rsidRPr="00D758E9">
              <w:rPr>
                <w:rFonts w:ascii="Georgia" w:hAnsi="Georgia" w:cs="Courier New"/>
                <w:sz w:val="20"/>
                <w:szCs w:val="20"/>
              </w:rPr>
              <w:t xml:space="preserve">81.57% </w:t>
            </w:r>
            <w:r w:rsidRPr="00D758E9">
              <w:rPr>
                <w:rFonts w:ascii="Georgia" w:hAnsi="Georgia" w:cs="Courier New"/>
                <w:sz w:val="20"/>
                <w:szCs w:val="20"/>
              </w:rPr>
              <w:t>year-over-year.</w:t>
            </w:r>
            <w:r w:rsidRPr="0053403B">
              <w:rPr>
                <w:rFonts w:ascii="Georgia" w:hAnsi="Georgia" w:cs="Courier New"/>
                <w:sz w:val="20"/>
                <w:szCs w:val="20"/>
                <w:vertAlign w:val="superscript"/>
              </w:rPr>
              <w:t>13,</w:t>
            </w:r>
            <w:r w:rsidRPr="00D758E9">
              <w:rPr>
                <w:rFonts w:ascii="Georgia" w:hAnsi="Georgia" w:cs="Courier New"/>
                <w:sz w:val="20"/>
                <w:szCs w:val="20"/>
                <w:vertAlign w:val="superscript"/>
              </w:rPr>
              <w:t>14</w:t>
            </w:r>
          </w:p>
          <w:p w:rsidR="00245D8E" w:rsidRPr="00396C18" w:rsidRDefault="00694929" w:rsidP="005D4165">
            <w:pPr>
              <w:pStyle w:val="PlainText"/>
              <w:rPr>
                <w:rFonts w:ascii="Georgia" w:hAnsi="Georgia" w:cs="Courier New"/>
                <w:sz w:val="20"/>
                <w:szCs w:val="20"/>
              </w:rPr>
            </w:pPr>
            <w:r w:rsidRPr="00396C18">
              <w:rPr>
                <w:rFonts w:ascii="Georgia" w:hAnsi="Georgia" w:cs="Courier New"/>
                <w:sz w:val="20"/>
                <w:szCs w:val="20"/>
              </w:rPr>
              <w:t xml:space="preserve"> </w:t>
            </w:r>
            <w:r w:rsidRPr="00396C18">
              <w:rPr>
                <w:rFonts w:ascii="Georgia" w:hAnsi="Georgia" w:cs="Courier New"/>
                <w:sz w:val="20"/>
                <w:szCs w:val="20"/>
              </w:rPr>
              <w:t xml:space="preserve"> </w:t>
            </w:r>
            <w:r w:rsidRPr="00396C18">
              <w:rPr>
                <w:rFonts w:ascii="Georgia" w:hAnsi="Georgia" w:cs="Courier New"/>
                <w:sz w:val="20"/>
                <w:szCs w:val="20"/>
              </w:rPr>
              <w:t xml:space="preserve"> </w:t>
            </w:r>
            <w:r w:rsidRPr="00396C18">
              <w:rPr>
                <w:rFonts w:ascii="Georgia" w:hAnsi="Georgia" w:cs="Courier New"/>
                <w:sz w:val="20"/>
                <w:szCs w:val="20"/>
              </w:rPr>
              <w:t xml:space="preserve"> </w:t>
            </w:r>
            <w:r w:rsidRPr="00396C18">
              <w:rPr>
                <w:rFonts w:ascii="Georgia" w:hAnsi="Georgia" w:cs="Courier New"/>
                <w:sz w:val="20"/>
                <w:szCs w:val="20"/>
              </w:rPr>
              <w:t xml:space="preserve">           </w:t>
            </w:r>
            <w:r w:rsidRPr="00396C18">
              <w:rPr>
                <w:rFonts w:ascii="Georgia" w:hAnsi="Georgia" w:cs="Courier New"/>
              </w:rPr>
              <w:t xml:space="preserve">   </w:t>
            </w:r>
          </w:p>
          <w:p w:rsidR="00245D8E" w:rsidRPr="00396C18" w:rsidRDefault="00694929" w:rsidP="005D4165">
            <w:pPr>
              <w:pStyle w:val="PlainText"/>
              <w:rPr>
                <w:rFonts w:ascii="Georgia" w:hAnsi="Georgia"/>
                <w:b/>
                <w:sz w:val="24"/>
                <w:szCs w:val="24"/>
              </w:rPr>
            </w:pPr>
            <w:r w:rsidRPr="00396C18">
              <w:rPr>
                <w:rFonts w:ascii="Georgia" w:hAnsi="Georgia"/>
                <w:b/>
                <w:sz w:val="24"/>
                <w:szCs w:val="24"/>
              </w:rPr>
              <w:t xml:space="preserve">COMMODITIES </w:t>
            </w:r>
            <w:r w:rsidRPr="00396C18">
              <w:rPr>
                <w:rFonts w:ascii="Georgia" w:hAnsi="Georgia"/>
                <w:b/>
                <w:sz w:val="24"/>
                <w:szCs w:val="24"/>
              </w:rPr>
              <w:t>MARKETS</w:t>
            </w:r>
          </w:p>
          <w:p w:rsidR="00CE2539" w:rsidRPr="00AE4CE1" w:rsidRDefault="00694929" w:rsidP="00F63A60">
            <w:pPr>
              <w:pStyle w:val="PlainText"/>
              <w:rPr>
                <w:rFonts w:ascii="Georgia" w:hAnsi="Georgia" w:cs="Courier New"/>
                <w:sz w:val="20"/>
                <w:szCs w:val="20"/>
              </w:rPr>
            </w:pPr>
            <w:r w:rsidRPr="00396C18">
              <w:rPr>
                <w:rFonts w:ascii="Georgia" w:hAnsi="Georgia" w:cs="Courier New"/>
                <w:sz w:val="20"/>
                <w:szCs w:val="20"/>
              </w:rPr>
              <w:t>Bitcoin left cybercurrency investors queasy in December. The Commodity Futures Trading Commission approved bitcoin futures trading on the CBOE Global Markets and CME exchanges on December 1, and this new legitimacy helped the price almost double to</w:t>
            </w:r>
            <w:r w:rsidRPr="00396C18">
              <w:rPr>
                <w:rFonts w:ascii="Georgia" w:hAnsi="Georgia" w:cs="Courier New"/>
                <w:sz w:val="20"/>
                <w:szCs w:val="20"/>
              </w:rPr>
              <w:t xml:space="preserve"> nearly $20,000 </w:t>
            </w:r>
            <w:r w:rsidRPr="00396C18">
              <w:rPr>
                <w:rFonts w:ascii="Georgia" w:hAnsi="Georgia" w:cs="Courier New"/>
                <w:sz w:val="20"/>
                <w:szCs w:val="20"/>
              </w:rPr>
              <w:t>by</w:t>
            </w:r>
            <w:r w:rsidRPr="00396C18">
              <w:rPr>
                <w:rFonts w:ascii="Georgia" w:hAnsi="Georgia" w:cs="Courier New"/>
                <w:sz w:val="20"/>
                <w:szCs w:val="20"/>
              </w:rPr>
              <w:t xml:space="preserve"> December 18. Then </w:t>
            </w:r>
            <w:r w:rsidRPr="00396C18">
              <w:rPr>
                <w:rFonts w:ascii="Georgia" w:hAnsi="Georgia" w:cs="Courier New"/>
                <w:sz w:val="20"/>
                <w:szCs w:val="20"/>
              </w:rPr>
              <w:t>bitcoin</w:t>
            </w:r>
            <w:r w:rsidRPr="00396C18">
              <w:rPr>
                <w:rFonts w:ascii="Georgia" w:hAnsi="Georgia" w:cs="Courier New"/>
                <w:sz w:val="20"/>
                <w:szCs w:val="20"/>
              </w:rPr>
              <w:t xml:space="preserve"> dropped precipitously, </w:t>
            </w:r>
            <w:r w:rsidRPr="00396C18">
              <w:rPr>
                <w:rFonts w:ascii="Georgia" w:hAnsi="Georgia" w:cs="Courier New"/>
                <w:sz w:val="20"/>
                <w:szCs w:val="20"/>
              </w:rPr>
              <w:t xml:space="preserve">partially recovering </w:t>
            </w:r>
            <w:r w:rsidRPr="00396C18">
              <w:rPr>
                <w:rFonts w:ascii="Georgia" w:hAnsi="Georgia" w:cs="Courier New"/>
                <w:sz w:val="20"/>
                <w:szCs w:val="20"/>
              </w:rPr>
              <w:t xml:space="preserve">to $14,610 </w:t>
            </w:r>
            <w:r>
              <w:rPr>
                <w:rFonts w:ascii="Georgia" w:hAnsi="Georgia" w:cs="Courier New"/>
                <w:sz w:val="20"/>
                <w:szCs w:val="20"/>
              </w:rPr>
              <w:t>by</w:t>
            </w:r>
            <w:r w:rsidRPr="00396C18">
              <w:rPr>
                <w:rFonts w:ascii="Georgia" w:hAnsi="Georgia" w:cs="Courier New"/>
                <w:sz w:val="20"/>
                <w:szCs w:val="20"/>
              </w:rPr>
              <w:t xml:space="preserve"> the end of 2017’s</w:t>
            </w:r>
            <w:r w:rsidRPr="00396C18">
              <w:rPr>
                <w:rFonts w:ascii="Georgia" w:hAnsi="Georgia" w:cs="Courier New"/>
                <w:sz w:val="20"/>
                <w:szCs w:val="20"/>
              </w:rPr>
              <w:t xml:space="preserve"> final trading day. </w:t>
            </w:r>
            <w:r>
              <w:rPr>
                <w:rFonts w:ascii="Georgia" w:hAnsi="Georgia" w:cs="Courier New"/>
                <w:sz w:val="20"/>
                <w:szCs w:val="20"/>
              </w:rPr>
              <w:t>Turning</w:t>
            </w:r>
            <w:r>
              <w:rPr>
                <w:rFonts w:ascii="Georgia" w:hAnsi="Georgia" w:cs="Courier New"/>
                <w:sz w:val="20"/>
                <w:szCs w:val="20"/>
              </w:rPr>
              <w:t xml:space="preserve"> to a different and far more stable</w:t>
            </w:r>
            <w:r w:rsidRPr="00396C18">
              <w:rPr>
                <w:rFonts w:ascii="Georgia" w:hAnsi="Georgia" w:cs="Courier New"/>
                <w:sz w:val="20"/>
                <w:szCs w:val="20"/>
              </w:rPr>
              <w:t xml:space="preserve"> </w:t>
            </w:r>
            <w:r>
              <w:rPr>
                <w:rFonts w:ascii="Georgia" w:hAnsi="Georgia" w:cs="Courier New"/>
                <w:sz w:val="20"/>
                <w:szCs w:val="20"/>
              </w:rPr>
              <w:t xml:space="preserve">kind of </w:t>
            </w:r>
            <w:r w:rsidRPr="00396C18">
              <w:rPr>
                <w:rFonts w:ascii="Georgia" w:hAnsi="Georgia" w:cs="Courier New"/>
                <w:sz w:val="20"/>
                <w:szCs w:val="20"/>
              </w:rPr>
              <w:t>currency, the U.S. Dollar Index weakened</w:t>
            </w:r>
            <w:r w:rsidRPr="00396C18">
              <w:rPr>
                <w:rFonts w:ascii="Georgia" w:hAnsi="Georgia" w:cs="Courier New"/>
                <w:sz w:val="20"/>
                <w:szCs w:val="20"/>
              </w:rPr>
              <w:t xml:space="preserve"> 0.81% during December to</w:t>
            </w:r>
            <w:r w:rsidRPr="00396C18">
              <w:rPr>
                <w:rFonts w:ascii="Georgia" w:hAnsi="Georgia" w:cs="Courier New"/>
                <w:sz w:val="20"/>
                <w:szCs w:val="20"/>
              </w:rPr>
              <w:t xml:space="preserve"> </w:t>
            </w:r>
            <w:r w:rsidRPr="00AE4CE1">
              <w:rPr>
                <w:rFonts w:ascii="Georgia" w:hAnsi="Georgia" w:cs="Courier New"/>
                <w:sz w:val="20"/>
                <w:szCs w:val="20"/>
              </w:rPr>
              <w:t>92.30.</w:t>
            </w:r>
            <w:r w:rsidRPr="00AE4CE1">
              <w:rPr>
                <w:rFonts w:ascii="Georgia" w:hAnsi="Georgia" w:cs="Courier New"/>
                <w:sz w:val="20"/>
                <w:szCs w:val="20"/>
                <w:vertAlign w:val="superscript"/>
              </w:rPr>
              <w:t>15,16</w:t>
            </w:r>
          </w:p>
          <w:p w:rsidR="00CE2539" w:rsidRPr="00AE4CE1" w:rsidRDefault="00694929" w:rsidP="00F63A60">
            <w:pPr>
              <w:pStyle w:val="PlainText"/>
              <w:rPr>
                <w:rFonts w:ascii="Georgia" w:hAnsi="Georgia" w:cs="Courier New"/>
                <w:sz w:val="20"/>
                <w:szCs w:val="20"/>
              </w:rPr>
            </w:pPr>
          </w:p>
          <w:p w:rsidR="00AD7912" w:rsidRPr="00AE4CE1" w:rsidRDefault="00694929" w:rsidP="00AD7912">
            <w:pPr>
              <w:pStyle w:val="PlainText"/>
              <w:rPr>
                <w:rFonts w:ascii="Georgia" w:hAnsi="Georgia" w:cs="Courier New"/>
                <w:sz w:val="20"/>
                <w:szCs w:val="20"/>
              </w:rPr>
            </w:pPr>
            <w:r w:rsidRPr="00AE4CE1">
              <w:rPr>
                <w:rFonts w:ascii="Georgia" w:hAnsi="Georgia" w:cs="Courier New"/>
                <w:sz w:val="20"/>
                <w:szCs w:val="20"/>
              </w:rPr>
              <w:t xml:space="preserve">WTI crude ended 2017 at $60.10 a barrel, up 4.67% for December. Heating oil futures advanced 8.77% last month, </w:t>
            </w:r>
            <w:r>
              <w:rPr>
                <w:rFonts w:ascii="Georgia" w:hAnsi="Georgia" w:cs="Courier New"/>
                <w:sz w:val="20"/>
                <w:szCs w:val="20"/>
              </w:rPr>
              <w:t xml:space="preserve">and </w:t>
            </w:r>
            <w:r w:rsidRPr="00AE4CE1">
              <w:rPr>
                <w:rFonts w:ascii="Georgia" w:hAnsi="Georgia" w:cs="Courier New"/>
                <w:sz w:val="20"/>
                <w:szCs w:val="20"/>
              </w:rPr>
              <w:t>unleaded gasoline gained 3.42%; natural gas, on the other hand, slipped 2.25%.</w:t>
            </w:r>
            <w:r w:rsidRPr="00AE4CE1">
              <w:rPr>
                <w:rFonts w:ascii="Georgia" w:hAnsi="Georgia" w:cs="Courier New"/>
                <w:sz w:val="20"/>
                <w:szCs w:val="20"/>
              </w:rPr>
              <w:t xml:space="preserve"> Cotton ruled ag futures with an 8.23% December improvement</w:t>
            </w:r>
            <w:r>
              <w:rPr>
                <w:rFonts w:ascii="Georgia" w:hAnsi="Georgia" w:cs="Courier New"/>
                <w:sz w:val="20"/>
                <w:szCs w:val="20"/>
              </w:rPr>
              <w:t>. W</w:t>
            </w:r>
            <w:r w:rsidRPr="00AE4CE1">
              <w:rPr>
                <w:rFonts w:ascii="Georgia" w:hAnsi="Georgia" w:cs="Courier New"/>
                <w:sz w:val="20"/>
                <w:szCs w:val="20"/>
              </w:rPr>
              <w:t>heat gained 4.40%</w:t>
            </w:r>
            <w:r>
              <w:rPr>
                <w:rFonts w:ascii="Georgia" w:hAnsi="Georgia" w:cs="Courier New"/>
                <w:sz w:val="20"/>
                <w:szCs w:val="20"/>
              </w:rPr>
              <w:t>;</w:t>
            </w:r>
            <w:r w:rsidRPr="00AE4CE1">
              <w:rPr>
                <w:rFonts w:ascii="Georgia" w:hAnsi="Georgia" w:cs="Courier New"/>
                <w:sz w:val="20"/>
                <w:szCs w:val="20"/>
              </w:rPr>
              <w:t xml:space="preserve"> corn</w:t>
            </w:r>
            <w:r>
              <w:rPr>
                <w:rFonts w:ascii="Georgia" w:hAnsi="Georgia" w:cs="Courier New"/>
                <w:sz w:val="20"/>
                <w:szCs w:val="20"/>
              </w:rPr>
              <w:t>,</w:t>
            </w:r>
            <w:r w:rsidRPr="00AE4CE1">
              <w:rPr>
                <w:rFonts w:ascii="Georgia" w:hAnsi="Georgia" w:cs="Courier New"/>
                <w:sz w:val="20"/>
                <w:szCs w:val="20"/>
              </w:rPr>
              <w:t xml:space="preserve"> 2.71%. Other crops took minor or majo</w:t>
            </w:r>
            <w:r>
              <w:rPr>
                <w:rFonts w:ascii="Georgia" w:hAnsi="Georgia" w:cs="Courier New"/>
                <w:sz w:val="20"/>
                <w:szCs w:val="20"/>
              </w:rPr>
              <w:t>r falls</w:t>
            </w:r>
            <w:r>
              <w:rPr>
                <w:rFonts w:ascii="Georgia" w:hAnsi="Georgia" w:cs="Courier New"/>
                <w:sz w:val="20"/>
                <w:szCs w:val="20"/>
              </w:rPr>
              <w:t>:</w:t>
            </w:r>
            <w:r>
              <w:rPr>
                <w:rFonts w:ascii="Georgia" w:hAnsi="Georgia" w:cs="Courier New"/>
                <w:sz w:val="20"/>
                <w:szCs w:val="20"/>
              </w:rPr>
              <w:t xml:space="preserve"> </w:t>
            </w:r>
            <w:r>
              <w:rPr>
                <w:rFonts w:ascii="Georgia" w:hAnsi="Georgia" w:cs="Courier New"/>
                <w:sz w:val="20"/>
                <w:szCs w:val="20"/>
              </w:rPr>
              <w:t>c</w:t>
            </w:r>
            <w:r>
              <w:rPr>
                <w:rFonts w:ascii="Georgia" w:hAnsi="Georgia" w:cs="Courier New"/>
                <w:sz w:val="20"/>
                <w:szCs w:val="20"/>
              </w:rPr>
              <w:t xml:space="preserve">offee lost 0.24%; </w:t>
            </w:r>
            <w:r w:rsidRPr="00AE4CE1">
              <w:rPr>
                <w:rFonts w:ascii="Georgia" w:hAnsi="Georgia" w:cs="Courier New"/>
                <w:sz w:val="20"/>
                <w:szCs w:val="20"/>
              </w:rPr>
              <w:t>sugar</w:t>
            </w:r>
            <w:r>
              <w:rPr>
                <w:rFonts w:ascii="Georgia" w:hAnsi="Georgia" w:cs="Courier New"/>
                <w:sz w:val="20"/>
                <w:szCs w:val="20"/>
              </w:rPr>
              <w:t>,</w:t>
            </w:r>
            <w:r w:rsidRPr="00AE4CE1">
              <w:rPr>
                <w:rFonts w:ascii="Georgia" w:hAnsi="Georgia" w:cs="Courier New"/>
                <w:sz w:val="20"/>
                <w:szCs w:val="20"/>
              </w:rPr>
              <w:t xml:space="preserve"> 0.53%</w:t>
            </w:r>
            <w:r>
              <w:rPr>
                <w:rFonts w:ascii="Georgia" w:hAnsi="Georgia" w:cs="Courier New"/>
                <w:sz w:val="20"/>
                <w:szCs w:val="20"/>
              </w:rPr>
              <w:t xml:space="preserve">; soybeans, </w:t>
            </w:r>
            <w:r w:rsidRPr="00AE4CE1">
              <w:rPr>
                <w:rFonts w:ascii="Georgia" w:hAnsi="Georgia" w:cs="Courier New"/>
                <w:sz w:val="20"/>
                <w:szCs w:val="20"/>
              </w:rPr>
              <w:t>3.37%</w:t>
            </w:r>
            <w:r>
              <w:rPr>
                <w:rFonts w:ascii="Georgia" w:hAnsi="Georgia" w:cs="Courier New"/>
                <w:sz w:val="20"/>
                <w:szCs w:val="20"/>
              </w:rPr>
              <w:t>;</w:t>
            </w:r>
            <w:r w:rsidRPr="00AE4CE1">
              <w:rPr>
                <w:rFonts w:ascii="Georgia" w:hAnsi="Georgia" w:cs="Courier New"/>
                <w:sz w:val="20"/>
                <w:szCs w:val="20"/>
              </w:rPr>
              <w:t xml:space="preserve"> cocoa</w:t>
            </w:r>
            <w:r>
              <w:rPr>
                <w:rFonts w:ascii="Georgia" w:hAnsi="Georgia" w:cs="Courier New"/>
                <w:sz w:val="20"/>
                <w:szCs w:val="20"/>
              </w:rPr>
              <w:t>,</w:t>
            </w:r>
            <w:r w:rsidRPr="00AE4CE1">
              <w:rPr>
                <w:rFonts w:ascii="Georgia" w:hAnsi="Georgia" w:cs="Courier New"/>
                <w:sz w:val="20"/>
                <w:szCs w:val="20"/>
              </w:rPr>
              <w:t xml:space="preserve"> 7.90%.</w:t>
            </w:r>
            <w:r w:rsidRPr="00AE4CE1">
              <w:rPr>
                <w:rFonts w:ascii="Georgia" w:hAnsi="Georgia" w:cs="Courier New"/>
                <w:sz w:val="20"/>
                <w:szCs w:val="20"/>
                <w:vertAlign w:val="superscript"/>
              </w:rPr>
              <w:t>17</w:t>
            </w:r>
          </w:p>
          <w:p w:rsidR="00AD7912" w:rsidRPr="00AE4CE1" w:rsidRDefault="00694929" w:rsidP="00AD7912">
            <w:pPr>
              <w:pStyle w:val="PlainText"/>
              <w:rPr>
                <w:rFonts w:ascii="Georgia" w:hAnsi="Georgia" w:cs="Courier New"/>
                <w:sz w:val="20"/>
                <w:szCs w:val="20"/>
              </w:rPr>
            </w:pPr>
            <w:r w:rsidRPr="00AE4CE1">
              <w:rPr>
                <w:rFonts w:ascii="Georgia" w:hAnsi="Georgia" w:cs="Courier New"/>
                <w:sz w:val="20"/>
                <w:szCs w:val="20"/>
              </w:rPr>
              <w:t xml:space="preserve"> </w:t>
            </w:r>
          </w:p>
          <w:p w:rsidR="00F63A60" w:rsidRPr="00AE4CE1" w:rsidRDefault="00694929" w:rsidP="00AD7912">
            <w:pPr>
              <w:pStyle w:val="PlainText"/>
              <w:rPr>
                <w:rFonts w:ascii="Georgia" w:hAnsi="Georgia" w:cs="Courier New"/>
                <w:sz w:val="20"/>
                <w:szCs w:val="20"/>
              </w:rPr>
            </w:pPr>
            <w:r w:rsidRPr="00AE4CE1">
              <w:rPr>
                <w:rFonts w:ascii="Georgia" w:hAnsi="Georgia" w:cs="Courier New"/>
                <w:sz w:val="20"/>
                <w:szCs w:val="20"/>
              </w:rPr>
              <w:lastRenderedPageBreak/>
              <w:t>What was gold worth at the end of 2017?</w:t>
            </w:r>
            <w:r w:rsidRPr="00AE4CE1">
              <w:rPr>
                <w:rFonts w:ascii="Georgia" w:hAnsi="Georgia" w:cs="Courier New"/>
                <w:sz w:val="20"/>
                <w:szCs w:val="20"/>
              </w:rPr>
              <w:t xml:space="preserve"> </w:t>
            </w:r>
            <w:r w:rsidRPr="00AE4CE1">
              <w:rPr>
                <w:rFonts w:ascii="Georgia" w:hAnsi="Georgia" w:cs="Courier New"/>
                <w:sz w:val="20"/>
                <w:szCs w:val="20"/>
              </w:rPr>
              <w:t>An ounce was va</w:t>
            </w:r>
            <w:r w:rsidRPr="00AE4CE1">
              <w:rPr>
                <w:rFonts w:ascii="Georgia" w:hAnsi="Georgia" w:cs="Courier New"/>
                <w:sz w:val="20"/>
                <w:szCs w:val="20"/>
              </w:rPr>
              <w:t xml:space="preserve">lued at </w:t>
            </w:r>
            <w:r w:rsidRPr="00AE4CE1">
              <w:rPr>
                <w:rFonts w:ascii="Georgia" w:hAnsi="Georgia" w:cs="Courier New"/>
                <w:sz w:val="20"/>
                <w:szCs w:val="20"/>
              </w:rPr>
              <w:t>$1,305.10</w:t>
            </w:r>
            <w:r w:rsidRPr="00AE4CE1">
              <w:rPr>
                <w:rFonts w:ascii="Georgia" w:hAnsi="Georgia" w:cs="Courier New"/>
                <w:sz w:val="20"/>
                <w:szCs w:val="20"/>
              </w:rPr>
              <w:t xml:space="preserve"> on the COMEX, thanks to a 2.42% December advance.</w:t>
            </w:r>
            <w:r w:rsidRPr="00AE4CE1">
              <w:rPr>
                <w:rFonts w:ascii="Georgia" w:hAnsi="Georgia" w:cs="Courier New"/>
                <w:sz w:val="20"/>
                <w:szCs w:val="20"/>
              </w:rPr>
              <w:t xml:space="preserve"> </w:t>
            </w:r>
            <w:r w:rsidRPr="00AE4CE1">
              <w:rPr>
                <w:rFonts w:ascii="Georgia" w:hAnsi="Georgia" w:cs="Courier New"/>
                <w:sz w:val="20"/>
                <w:szCs w:val="20"/>
              </w:rPr>
              <w:t>S</w:t>
            </w:r>
            <w:r w:rsidRPr="00AE4CE1">
              <w:rPr>
                <w:rFonts w:ascii="Georgia" w:hAnsi="Georgia" w:cs="Courier New"/>
                <w:sz w:val="20"/>
                <w:szCs w:val="20"/>
              </w:rPr>
              <w:t>ilver</w:t>
            </w:r>
            <w:r w:rsidRPr="00AE4CE1">
              <w:rPr>
                <w:rFonts w:ascii="Georgia" w:hAnsi="Georgia" w:cs="Courier New"/>
                <w:sz w:val="20"/>
                <w:szCs w:val="20"/>
              </w:rPr>
              <w:t xml:space="preserve"> rose 3.79% on the month to</w:t>
            </w:r>
            <w:r w:rsidRPr="00AE4CE1">
              <w:rPr>
                <w:rFonts w:ascii="Georgia" w:hAnsi="Georgia" w:cs="Courier New"/>
                <w:sz w:val="20"/>
                <w:szCs w:val="20"/>
              </w:rPr>
              <w:t xml:space="preserve"> </w:t>
            </w:r>
            <w:r w:rsidRPr="00AE4CE1">
              <w:rPr>
                <w:rFonts w:ascii="Georgia" w:hAnsi="Georgia" w:cs="Courier New"/>
                <w:sz w:val="20"/>
                <w:szCs w:val="20"/>
              </w:rPr>
              <w:t xml:space="preserve">wrap up 2017 </w:t>
            </w:r>
            <w:r w:rsidRPr="00AE4CE1">
              <w:rPr>
                <w:rFonts w:ascii="Georgia" w:hAnsi="Georgia" w:cs="Courier New"/>
                <w:sz w:val="20"/>
                <w:szCs w:val="20"/>
              </w:rPr>
              <w:t xml:space="preserve">at $16.98. Copper </w:t>
            </w:r>
            <w:r w:rsidRPr="00AE4CE1">
              <w:rPr>
                <w:rFonts w:ascii="Georgia" w:hAnsi="Georgia" w:cs="Courier New"/>
                <w:sz w:val="20"/>
                <w:szCs w:val="20"/>
              </w:rPr>
              <w:t>posted</w:t>
            </w:r>
            <w:r w:rsidRPr="00AE4CE1">
              <w:rPr>
                <w:rFonts w:ascii="Georgia" w:hAnsi="Georgia" w:cs="Courier New"/>
                <w:sz w:val="20"/>
                <w:szCs w:val="20"/>
              </w:rPr>
              <w:t xml:space="preserve"> </w:t>
            </w:r>
            <w:r w:rsidRPr="00AE4CE1">
              <w:rPr>
                <w:rFonts w:ascii="Georgia" w:hAnsi="Georgia" w:cs="Courier New"/>
                <w:sz w:val="20"/>
                <w:szCs w:val="20"/>
              </w:rPr>
              <w:t>a 7.72% D</w:t>
            </w:r>
            <w:r w:rsidRPr="00AE4CE1">
              <w:rPr>
                <w:rFonts w:ascii="Georgia" w:hAnsi="Georgia" w:cs="Courier New"/>
                <w:sz w:val="20"/>
                <w:szCs w:val="20"/>
              </w:rPr>
              <w:t>ec</w:t>
            </w:r>
            <w:r w:rsidRPr="00AE4CE1">
              <w:rPr>
                <w:rFonts w:ascii="Georgia" w:hAnsi="Georgia" w:cs="Courier New"/>
                <w:sz w:val="20"/>
                <w:szCs w:val="20"/>
              </w:rPr>
              <w:t>ember gain</w:t>
            </w:r>
            <w:r>
              <w:rPr>
                <w:rFonts w:ascii="Georgia" w:hAnsi="Georgia" w:cs="Courier New"/>
                <w:sz w:val="20"/>
                <w:szCs w:val="20"/>
              </w:rPr>
              <w:t>;</w:t>
            </w:r>
            <w:r w:rsidRPr="00AE4CE1">
              <w:rPr>
                <w:rFonts w:ascii="Georgia" w:hAnsi="Georgia" w:cs="Courier New"/>
                <w:sz w:val="20"/>
                <w:szCs w:val="20"/>
              </w:rPr>
              <w:t xml:space="preserve"> platinum</w:t>
            </w:r>
            <w:r>
              <w:rPr>
                <w:rFonts w:ascii="Georgia" w:hAnsi="Georgia" w:cs="Courier New"/>
                <w:sz w:val="20"/>
                <w:szCs w:val="20"/>
              </w:rPr>
              <w:t>,</w:t>
            </w:r>
            <w:r w:rsidRPr="00AE4CE1">
              <w:rPr>
                <w:rFonts w:ascii="Georgia" w:hAnsi="Georgia" w:cs="Courier New"/>
                <w:sz w:val="20"/>
                <w:szCs w:val="20"/>
              </w:rPr>
              <w:t xml:space="preserve"> a 1.26% December loss.</w:t>
            </w:r>
            <w:r w:rsidRPr="00AE4CE1">
              <w:rPr>
                <w:rFonts w:ascii="Georgia" w:hAnsi="Georgia" w:cs="Courier New"/>
                <w:sz w:val="20"/>
                <w:szCs w:val="20"/>
                <w:vertAlign w:val="superscript"/>
              </w:rPr>
              <w:t>17</w:t>
            </w:r>
          </w:p>
          <w:p w:rsidR="00F63A60" w:rsidRPr="008B4F9C" w:rsidRDefault="00694929" w:rsidP="00F63A60">
            <w:pPr>
              <w:pStyle w:val="PlainText"/>
              <w:rPr>
                <w:rFonts w:ascii="Georgia" w:hAnsi="Georgia" w:cs="Courier New"/>
                <w:color w:val="002060"/>
                <w:sz w:val="20"/>
                <w:szCs w:val="20"/>
              </w:rPr>
            </w:pPr>
            <w:r>
              <w:rPr>
                <w:rFonts w:ascii="Georgia" w:hAnsi="Georgia" w:cs="Courier New"/>
                <w:color w:val="002060"/>
                <w:sz w:val="20"/>
                <w:szCs w:val="20"/>
              </w:rPr>
              <w:t xml:space="preserve"> </w:t>
            </w:r>
            <w:r w:rsidRPr="008B4F9C">
              <w:rPr>
                <w:rFonts w:ascii="Georgia" w:hAnsi="Georgia" w:cs="Courier New"/>
                <w:color w:val="002060"/>
                <w:sz w:val="20"/>
                <w:szCs w:val="20"/>
              </w:rPr>
              <w:t xml:space="preserve">  </w:t>
            </w:r>
          </w:p>
          <w:p w:rsidR="00245D8E" w:rsidRPr="008B4F9C" w:rsidRDefault="00694929" w:rsidP="005D4165">
            <w:pPr>
              <w:rPr>
                <w:rStyle w:val="st"/>
                <w:rFonts w:ascii="Georgia" w:hAnsi="Georgia"/>
                <w:color w:val="002060"/>
                <w:sz w:val="20"/>
                <w:szCs w:val="20"/>
              </w:rPr>
            </w:pPr>
            <w:r w:rsidRPr="000D3A96">
              <w:rPr>
                <w:rFonts w:ascii="Georgia" w:hAnsi="Georgia"/>
                <w:b/>
              </w:rPr>
              <w:t>REAL ESTATE</w:t>
            </w:r>
            <w:r w:rsidRPr="000D3A96">
              <w:rPr>
                <w:rFonts w:ascii="Georgia" w:hAnsi="Georgia"/>
                <w:b/>
              </w:rPr>
              <w:br/>
            </w:r>
            <w:r w:rsidRPr="000D3A96">
              <w:rPr>
                <w:rStyle w:val="st"/>
                <w:rFonts w:ascii="Georgia" w:hAnsi="Georgia"/>
                <w:sz w:val="20"/>
                <w:szCs w:val="20"/>
              </w:rPr>
              <w:t>Prices were high</w:t>
            </w:r>
            <w:r>
              <w:rPr>
                <w:rStyle w:val="st"/>
                <w:rFonts w:ascii="Georgia" w:hAnsi="Georgia"/>
                <w:sz w:val="20"/>
                <w:szCs w:val="20"/>
              </w:rPr>
              <w:t>;</w:t>
            </w:r>
            <w:r w:rsidRPr="000D3A96">
              <w:rPr>
                <w:rStyle w:val="st"/>
                <w:rFonts w:ascii="Georgia" w:hAnsi="Georgia"/>
                <w:sz w:val="20"/>
                <w:szCs w:val="20"/>
              </w:rPr>
              <w:t xml:space="preserve"> inventory was thinner than it had been – </w:t>
            </w:r>
            <w:r>
              <w:rPr>
                <w:rStyle w:val="st"/>
                <w:rFonts w:ascii="Georgia" w:hAnsi="Georgia"/>
                <w:sz w:val="20"/>
                <w:szCs w:val="20"/>
              </w:rPr>
              <w:t xml:space="preserve">and still, buyers </w:t>
            </w:r>
            <w:r>
              <w:rPr>
                <w:rStyle w:val="st"/>
                <w:rFonts w:ascii="Georgia" w:hAnsi="Georgia"/>
                <w:sz w:val="20"/>
                <w:szCs w:val="20"/>
              </w:rPr>
              <w:t>found</w:t>
            </w:r>
            <w:r>
              <w:rPr>
                <w:rStyle w:val="st"/>
                <w:rFonts w:ascii="Georgia" w:hAnsi="Georgia"/>
                <w:sz w:val="20"/>
                <w:szCs w:val="20"/>
              </w:rPr>
              <w:t xml:space="preserve"> </w:t>
            </w:r>
            <w:r>
              <w:rPr>
                <w:rStyle w:val="st"/>
                <w:rFonts w:ascii="Georgia" w:hAnsi="Georgia"/>
                <w:sz w:val="20"/>
                <w:szCs w:val="20"/>
              </w:rPr>
              <w:t xml:space="preserve">the </w:t>
            </w:r>
            <w:r>
              <w:rPr>
                <w:rStyle w:val="st"/>
                <w:rFonts w:ascii="Georgia" w:hAnsi="Georgia"/>
                <w:sz w:val="20"/>
                <w:szCs w:val="20"/>
              </w:rPr>
              <w:t>homes</w:t>
            </w:r>
            <w:r>
              <w:rPr>
                <w:rStyle w:val="st"/>
                <w:rFonts w:ascii="Georgia" w:hAnsi="Georgia"/>
                <w:sz w:val="20"/>
                <w:szCs w:val="20"/>
              </w:rPr>
              <w:t xml:space="preserve"> they wanted</w:t>
            </w:r>
            <w:r>
              <w:rPr>
                <w:rStyle w:val="st"/>
                <w:rFonts w:ascii="Georgia" w:hAnsi="Georgia"/>
                <w:sz w:val="20"/>
                <w:szCs w:val="20"/>
              </w:rPr>
              <w:t>. The annualized pace of existing home purchases rose 5.6% in November, and the rate of new home purchases accelerated 17.5%. The National Association of Realtors stated</w:t>
            </w:r>
            <w:r>
              <w:rPr>
                <w:rStyle w:val="st"/>
                <w:rFonts w:ascii="Georgia" w:hAnsi="Georgia"/>
                <w:sz w:val="20"/>
                <w:szCs w:val="20"/>
              </w:rPr>
              <w:t xml:space="preserve"> that resales were </w:t>
            </w:r>
            <w:r>
              <w:rPr>
                <w:rStyle w:val="st"/>
                <w:rFonts w:ascii="Georgia" w:hAnsi="Georgia"/>
                <w:sz w:val="20"/>
                <w:szCs w:val="20"/>
              </w:rPr>
              <w:t>up 3.8% year-to-date</w:t>
            </w:r>
            <w:r>
              <w:rPr>
                <w:rStyle w:val="st"/>
                <w:rFonts w:ascii="Georgia" w:hAnsi="Georgia"/>
                <w:sz w:val="20"/>
                <w:szCs w:val="20"/>
              </w:rPr>
              <w:t>;</w:t>
            </w:r>
            <w:r>
              <w:rPr>
                <w:rStyle w:val="st"/>
                <w:rFonts w:ascii="Georgia" w:hAnsi="Georgia"/>
                <w:sz w:val="20"/>
                <w:szCs w:val="20"/>
              </w:rPr>
              <w:t xml:space="preserve"> the median</w:t>
            </w:r>
            <w:r w:rsidRPr="00B5629E">
              <w:rPr>
                <w:rStyle w:val="st"/>
                <w:rFonts w:ascii="Georgia" w:hAnsi="Georgia"/>
                <w:sz w:val="20"/>
                <w:szCs w:val="20"/>
              </w:rPr>
              <w:t xml:space="preserve"> sale price was at $248,000, </w:t>
            </w:r>
            <w:r>
              <w:rPr>
                <w:rStyle w:val="st"/>
                <w:rFonts w:ascii="Georgia" w:hAnsi="Georgia"/>
                <w:sz w:val="20"/>
                <w:szCs w:val="20"/>
              </w:rPr>
              <w:t xml:space="preserve">up </w:t>
            </w:r>
            <w:r w:rsidRPr="00B5629E">
              <w:rPr>
                <w:rStyle w:val="st"/>
                <w:rFonts w:ascii="Georgia" w:hAnsi="Georgia"/>
                <w:sz w:val="20"/>
                <w:szCs w:val="20"/>
              </w:rPr>
              <w:t xml:space="preserve">5.9% </w:t>
            </w:r>
            <w:r>
              <w:rPr>
                <w:rStyle w:val="st"/>
                <w:rFonts w:ascii="Georgia" w:hAnsi="Georgia"/>
                <w:sz w:val="20"/>
                <w:szCs w:val="20"/>
              </w:rPr>
              <w:t>for the year</w:t>
            </w:r>
            <w:r w:rsidRPr="00B5629E">
              <w:rPr>
                <w:rStyle w:val="st"/>
                <w:rFonts w:ascii="Georgia" w:hAnsi="Georgia"/>
                <w:sz w:val="20"/>
                <w:szCs w:val="20"/>
              </w:rPr>
              <w:t>.</w:t>
            </w:r>
            <w:r w:rsidRPr="00B5629E">
              <w:rPr>
                <w:rStyle w:val="st"/>
                <w:rFonts w:ascii="Georgia" w:hAnsi="Georgia"/>
                <w:sz w:val="20"/>
                <w:szCs w:val="20"/>
              </w:rPr>
              <w:t xml:space="preserve"> </w:t>
            </w:r>
            <w:r w:rsidRPr="00B5629E">
              <w:rPr>
                <w:rStyle w:val="st"/>
                <w:rFonts w:ascii="Georgia" w:hAnsi="Georgia"/>
                <w:sz w:val="20"/>
                <w:szCs w:val="20"/>
              </w:rPr>
              <w:t>N</w:t>
            </w:r>
            <w:r w:rsidRPr="00B5629E">
              <w:rPr>
                <w:rStyle w:val="st"/>
                <w:rFonts w:ascii="Georgia" w:hAnsi="Georgia"/>
                <w:sz w:val="20"/>
                <w:szCs w:val="20"/>
              </w:rPr>
              <w:t>ew home buying was up 2</w:t>
            </w:r>
            <w:r>
              <w:rPr>
                <w:rStyle w:val="st"/>
                <w:rFonts w:ascii="Georgia" w:hAnsi="Georgia"/>
                <w:sz w:val="20"/>
                <w:szCs w:val="20"/>
              </w:rPr>
              <w:t>2.8</w:t>
            </w:r>
            <w:r w:rsidRPr="00B5629E">
              <w:rPr>
                <w:rStyle w:val="st"/>
                <w:rFonts w:ascii="Georgia" w:hAnsi="Georgia"/>
                <w:sz w:val="20"/>
                <w:szCs w:val="20"/>
              </w:rPr>
              <w:t>%</w:t>
            </w:r>
            <w:r w:rsidRPr="00B5629E">
              <w:rPr>
                <w:rStyle w:val="st"/>
                <w:rFonts w:ascii="Georgia" w:hAnsi="Georgia"/>
                <w:sz w:val="20"/>
                <w:szCs w:val="20"/>
              </w:rPr>
              <w:t xml:space="preserve"> year-over-year</w:t>
            </w:r>
            <w:r>
              <w:rPr>
                <w:rStyle w:val="st"/>
                <w:rFonts w:ascii="Georgia" w:hAnsi="Georgia"/>
                <w:sz w:val="20"/>
                <w:szCs w:val="20"/>
              </w:rPr>
              <w:t>,</w:t>
            </w:r>
            <w:r w:rsidRPr="00B5629E">
              <w:rPr>
                <w:rStyle w:val="st"/>
                <w:rFonts w:ascii="Georgia" w:hAnsi="Georgia"/>
                <w:sz w:val="20"/>
                <w:szCs w:val="20"/>
              </w:rPr>
              <w:t xml:space="preserve"> according to the Census Bureau, with the annual increase at 31.1% in the west</w:t>
            </w:r>
            <w:r w:rsidRPr="00B5629E">
              <w:rPr>
                <w:rStyle w:val="st"/>
                <w:rFonts w:ascii="Georgia" w:hAnsi="Georgia"/>
                <w:sz w:val="20"/>
                <w:szCs w:val="20"/>
              </w:rPr>
              <w:t>.</w:t>
            </w:r>
            <w:r w:rsidRPr="00B5629E">
              <w:rPr>
                <w:rStyle w:val="st"/>
                <w:rFonts w:ascii="Georgia" w:hAnsi="Georgia"/>
                <w:sz w:val="20"/>
                <w:szCs w:val="20"/>
                <w:vertAlign w:val="superscript"/>
              </w:rPr>
              <w:t>18</w:t>
            </w:r>
          </w:p>
          <w:p w:rsidR="00500BE3" w:rsidRPr="008B4F9C" w:rsidRDefault="00694929" w:rsidP="005D4165">
            <w:pPr>
              <w:rPr>
                <w:rStyle w:val="st"/>
                <w:rFonts w:ascii="Georgia" w:hAnsi="Georgia"/>
                <w:color w:val="002060"/>
                <w:sz w:val="20"/>
                <w:szCs w:val="20"/>
              </w:rPr>
            </w:pPr>
            <w:r w:rsidRPr="008B4F9C">
              <w:rPr>
                <w:rStyle w:val="st"/>
                <w:rFonts w:ascii="Georgia" w:hAnsi="Georgia"/>
                <w:color w:val="002060"/>
                <w:sz w:val="20"/>
                <w:szCs w:val="20"/>
              </w:rPr>
              <w:t xml:space="preserve"> </w:t>
            </w:r>
            <w:r w:rsidRPr="008B4F9C">
              <w:rPr>
                <w:rStyle w:val="st"/>
                <w:rFonts w:ascii="Georgia" w:hAnsi="Georgia"/>
                <w:color w:val="002060"/>
                <w:sz w:val="20"/>
                <w:szCs w:val="20"/>
              </w:rPr>
              <w:t xml:space="preserve"> </w:t>
            </w:r>
            <w:r w:rsidRPr="008B4F9C">
              <w:rPr>
                <w:rStyle w:val="st"/>
                <w:rFonts w:ascii="Georgia" w:hAnsi="Georgia"/>
                <w:color w:val="002060"/>
                <w:sz w:val="20"/>
                <w:szCs w:val="20"/>
              </w:rPr>
              <w:t xml:space="preserve"> </w:t>
            </w:r>
          </w:p>
          <w:p w:rsidR="00A229B2" w:rsidRPr="00B5629E" w:rsidRDefault="00694929" w:rsidP="00A229B2">
            <w:pPr>
              <w:rPr>
                <w:rStyle w:val="st"/>
                <w:rFonts w:ascii="Georgia" w:hAnsi="Georgia"/>
                <w:sz w:val="20"/>
                <w:szCs w:val="20"/>
              </w:rPr>
            </w:pPr>
            <w:r w:rsidRPr="00FC5C12">
              <w:rPr>
                <w:rStyle w:val="st"/>
                <w:rFonts w:ascii="Georgia" w:hAnsi="Georgia"/>
                <w:sz w:val="20"/>
                <w:szCs w:val="20"/>
              </w:rPr>
              <w:t xml:space="preserve">If you </w:t>
            </w:r>
            <w:r>
              <w:rPr>
                <w:rStyle w:val="st"/>
                <w:rFonts w:ascii="Georgia" w:hAnsi="Georgia"/>
                <w:sz w:val="20"/>
                <w:szCs w:val="20"/>
              </w:rPr>
              <w:t>fou</w:t>
            </w:r>
            <w:r w:rsidRPr="00FC5C12">
              <w:rPr>
                <w:rStyle w:val="st"/>
                <w:rFonts w:ascii="Georgia" w:hAnsi="Georgia"/>
                <w:sz w:val="20"/>
                <w:szCs w:val="20"/>
              </w:rPr>
              <w:t xml:space="preserve">nd a home to buy, you probably </w:t>
            </w:r>
            <w:r>
              <w:rPr>
                <w:rStyle w:val="st"/>
                <w:rFonts w:ascii="Georgia" w:hAnsi="Georgia"/>
                <w:sz w:val="20"/>
                <w:szCs w:val="20"/>
              </w:rPr>
              <w:t>fou</w:t>
            </w:r>
            <w:r>
              <w:rPr>
                <w:rStyle w:val="st"/>
                <w:rFonts w:ascii="Georgia" w:hAnsi="Georgia"/>
                <w:sz w:val="20"/>
                <w:szCs w:val="20"/>
              </w:rPr>
              <w:t>nd a</w:t>
            </w:r>
            <w:r w:rsidRPr="00FC5C12">
              <w:rPr>
                <w:rStyle w:val="st"/>
                <w:rFonts w:ascii="Georgia" w:hAnsi="Georgia"/>
                <w:sz w:val="20"/>
                <w:szCs w:val="20"/>
              </w:rPr>
              <w:t xml:space="preserve"> </w:t>
            </w:r>
            <w:r>
              <w:rPr>
                <w:rStyle w:val="st"/>
                <w:rFonts w:ascii="Georgia" w:hAnsi="Georgia"/>
                <w:sz w:val="20"/>
                <w:szCs w:val="20"/>
              </w:rPr>
              <w:t>cheap</w:t>
            </w:r>
            <w:r w:rsidRPr="00FC5C12">
              <w:rPr>
                <w:rStyle w:val="st"/>
                <w:rFonts w:ascii="Georgia" w:hAnsi="Georgia"/>
                <w:sz w:val="20"/>
                <w:szCs w:val="20"/>
              </w:rPr>
              <w:t xml:space="preserve"> mortgage, historically speaking. Freddie Mac’s final Primary Mortgage Market Survey of 2018</w:t>
            </w:r>
            <w:r w:rsidRPr="00FC5C12">
              <w:rPr>
                <w:rStyle w:val="st"/>
                <w:rFonts w:ascii="Georgia" w:hAnsi="Georgia"/>
                <w:sz w:val="20"/>
                <w:szCs w:val="20"/>
              </w:rPr>
              <w:t xml:space="preserve"> did show rates climbing, however.</w:t>
            </w:r>
            <w:r w:rsidRPr="00FC5C12">
              <w:rPr>
                <w:rStyle w:val="st"/>
                <w:rFonts w:ascii="Georgia" w:hAnsi="Georgia"/>
                <w:sz w:val="20"/>
                <w:szCs w:val="20"/>
              </w:rPr>
              <w:t xml:space="preserve"> </w:t>
            </w:r>
            <w:r w:rsidRPr="00FC5C12">
              <w:rPr>
                <w:rStyle w:val="st"/>
                <w:rFonts w:ascii="Georgia" w:hAnsi="Georgia"/>
                <w:sz w:val="20"/>
                <w:szCs w:val="20"/>
              </w:rPr>
              <w:t xml:space="preserve">In the December </w:t>
            </w:r>
            <w:r>
              <w:rPr>
                <w:rStyle w:val="st"/>
                <w:rFonts w:ascii="Georgia" w:hAnsi="Georgia"/>
                <w:sz w:val="20"/>
                <w:szCs w:val="20"/>
              </w:rPr>
              <w:t>28</w:t>
            </w:r>
            <w:r w:rsidRPr="00FC5C12">
              <w:rPr>
                <w:rStyle w:val="st"/>
                <w:rFonts w:ascii="Georgia" w:hAnsi="Georgia"/>
                <w:sz w:val="20"/>
                <w:szCs w:val="20"/>
              </w:rPr>
              <w:t xml:space="preserve"> PMMS, the</w:t>
            </w:r>
            <w:r w:rsidRPr="00FC5C12">
              <w:rPr>
                <w:rStyle w:val="st"/>
                <w:rFonts w:ascii="Georgia" w:hAnsi="Georgia"/>
                <w:sz w:val="20"/>
                <w:szCs w:val="20"/>
              </w:rPr>
              <w:t xml:space="preserve"> average interest rate on a conventional home </w:t>
            </w:r>
            <w:r w:rsidRPr="00B5629E">
              <w:rPr>
                <w:rStyle w:val="st"/>
                <w:rFonts w:ascii="Georgia" w:hAnsi="Georgia"/>
                <w:sz w:val="20"/>
                <w:szCs w:val="20"/>
              </w:rPr>
              <w:t xml:space="preserve">loan </w:t>
            </w:r>
            <w:r w:rsidRPr="00B5629E">
              <w:rPr>
                <w:rStyle w:val="st"/>
                <w:rFonts w:ascii="Georgia" w:hAnsi="Georgia"/>
                <w:sz w:val="20"/>
                <w:szCs w:val="20"/>
              </w:rPr>
              <w:t>was 3.</w:t>
            </w:r>
            <w:r w:rsidRPr="00B5629E">
              <w:rPr>
                <w:rStyle w:val="st"/>
                <w:rFonts w:ascii="Georgia" w:hAnsi="Georgia"/>
                <w:sz w:val="20"/>
                <w:szCs w:val="20"/>
              </w:rPr>
              <w:t>99%, up from 3.90% on November 30. In the same time frame,</w:t>
            </w:r>
            <w:r w:rsidRPr="00B5629E">
              <w:rPr>
                <w:rStyle w:val="st"/>
                <w:rFonts w:ascii="Georgia" w:hAnsi="Georgia"/>
                <w:sz w:val="20"/>
                <w:szCs w:val="20"/>
              </w:rPr>
              <w:t xml:space="preserve"> </w:t>
            </w:r>
            <w:r w:rsidRPr="00B5629E">
              <w:rPr>
                <w:rStyle w:val="st"/>
                <w:rFonts w:ascii="Georgia" w:hAnsi="Georgia"/>
                <w:sz w:val="20"/>
                <w:szCs w:val="20"/>
              </w:rPr>
              <w:t>the average interest rate</w:t>
            </w:r>
            <w:r w:rsidRPr="00B5629E">
              <w:rPr>
                <w:rStyle w:val="st"/>
                <w:rFonts w:ascii="Georgia" w:hAnsi="Georgia"/>
                <w:sz w:val="20"/>
                <w:szCs w:val="20"/>
              </w:rPr>
              <w:t xml:space="preserve"> on </w:t>
            </w:r>
            <w:r w:rsidRPr="00B5629E">
              <w:rPr>
                <w:rStyle w:val="st"/>
                <w:rFonts w:ascii="Georgia" w:hAnsi="Georgia"/>
                <w:sz w:val="20"/>
                <w:szCs w:val="20"/>
              </w:rPr>
              <w:t>the 15-year fixed went from</w:t>
            </w:r>
            <w:r w:rsidRPr="00B5629E">
              <w:rPr>
                <w:rStyle w:val="st"/>
                <w:rFonts w:ascii="Georgia" w:hAnsi="Georgia"/>
                <w:sz w:val="20"/>
                <w:szCs w:val="20"/>
              </w:rPr>
              <w:t xml:space="preserve"> 3.30%</w:t>
            </w:r>
            <w:r w:rsidRPr="00B5629E">
              <w:rPr>
                <w:rStyle w:val="st"/>
                <w:rFonts w:ascii="Georgia" w:hAnsi="Georgia"/>
                <w:sz w:val="20"/>
                <w:szCs w:val="20"/>
              </w:rPr>
              <w:t xml:space="preserve"> to 3.44%</w:t>
            </w:r>
            <w:r w:rsidRPr="00B5629E">
              <w:rPr>
                <w:rStyle w:val="st"/>
                <w:rFonts w:ascii="Georgia" w:hAnsi="Georgia"/>
                <w:sz w:val="20"/>
                <w:szCs w:val="20"/>
              </w:rPr>
              <w:t xml:space="preserve">, </w:t>
            </w:r>
            <w:r w:rsidRPr="00B5629E">
              <w:rPr>
                <w:rStyle w:val="st"/>
                <w:rFonts w:ascii="Georgia" w:hAnsi="Georgia"/>
                <w:sz w:val="20"/>
                <w:szCs w:val="20"/>
              </w:rPr>
              <w:t>and</w:t>
            </w:r>
            <w:r w:rsidRPr="00B5629E">
              <w:rPr>
                <w:rStyle w:val="st"/>
                <w:rFonts w:ascii="Georgia" w:hAnsi="Georgia"/>
                <w:sz w:val="20"/>
                <w:szCs w:val="20"/>
              </w:rPr>
              <w:t xml:space="preserve"> the </w:t>
            </w:r>
            <w:r w:rsidRPr="00B5629E">
              <w:rPr>
                <w:rStyle w:val="st"/>
                <w:rFonts w:ascii="Georgia" w:hAnsi="Georgia"/>
                <w:sz w:val="20"/>
                <w:szCs w:val="20"/>
              </w:rPr>
              <w:t>mean</w:t>
            </w:r>
            <w:r w:rsidRPr="00B5629E">
              <w:rPr>
                <w:rStyle w:val="st"/>
                <w:rFonts w:ascii="Georgia" w:hAnsi="Georgia"/>
                <w:sz w:val="20"/>
                <w:szCs w:val="20"/>
              </w:rPr>
              <w:t xml:space="preserve"> </w:t>
            </w:r>
            <w:r w:rsidRPr="00B5629E">
              <w:rPr>
                <w:rStyle w:val="st"/>
                <w:rFonts w:ascii="Georgia" w:hAnsi="Georgia"/>
                <w:sz w:val="20"/>
                <w:szCs w:val="20"/>
              </w:rPr>
              <w:t>interest</w:t>
            </w:r>
            <w:r w:rsidRPr="00B5629E">
              <w:rPr>
                <w:rStyle w:val="st"/>
                <w:rFonts w:ascii="Georgia" w:hAnsi="Georgia"/>
                <w:sz w:val="20"/>
                <w:szCs w:val="20"/>
              </w:rPr>
              <w:t xml:space="preserve"> on the 5/1-year </w:t>
            </w:r>
            <w:r w:rsidRPr="00B5629E">
              <w:rPr>
                <w:rStyle w:val="st"/>
                <w:rFonts w:ascii="Georgia" w:hAnsi="Georgia"/>
                <w:sz w:val="20"/>
                <w:szCs w:val="20"/>
              </w:rPr>
              <w:t>ARM</w:t>
            </w:r>
            <w:r w:rsidRPr="00B5629E">
              <w:rPr>
                <w:rStyle w:val="st"/>
                <w:rFonts w:ascii="Georgia" w:hAnsi="Georgia"/>
                <w:sz w:val="20"/>
                <w:szCs w:val="20"/>
              </w:rPr>
              <w:t xml:space="preserve"> </w:t>
            </w:r>
            <w:r w:rsidRPr="00B5629E">
              <w:rPr>
                <w:rStyle w:val="st"/>
                <w:rFonts w:ascii="Georgia" w:hAnsi="Georgia"/>
                <w:sz w:val="20"/>
                <w:szCs w:val="20"/>
              </w:rPr>
              <w:t>jumped</w:t>
            </w:r>
            <w:r w:rsidRPr="00B5629E">
              <w:rPr>
                <w:rStyle w:val="st"/>
                <w:rFonts w:ascii="Georgia" w:hAnsi="Georgia"/>
                <w:sz w:val="20"/>
                <w:szCs w:val="20"/>
              </w:rPr>
              <w:t xml:space="preserve"> </w:t>
            </w:r>
            <w:r w:rsidRPr="00B5629E">
              <w:rPr>
                <w:rStyle w:val="st"/>
                <w:rFonts w:ascii="Georgia" w:hAnsi="Georgia"/>
                <w:sz w:val="20"/>
                <w:szCs w:val="20"/>
              </w:rPr>
              <w:t>from</w:t>
            </w:r>
            <w:r w:rsidRPr="00B5629E">
              <w:rPr>
                <w:rStyle w:val="st"/>
                <w:rFonts w:ascii="Georgia" w:hAnsi="Georgia"/>
                <w:sz w:val="20"/>
                <w:szCs w:val="20"/>
              </w:rPr>
              <w:t xml:space="preserve"> 3.32%</w:t>
            </w:r>
            <w:r w:rsidRPr="00B5629E">
              <w:rPr>
                <w:rStyle w:val="st"/>
                <w:rFonts w:ascii="Georgia" w:hAnsi="Georgia"/>
                <w:sz w:val="20"/>
                <w:szCs w:val="20"/>
              </w:rPr>
              <w:t xml:space="preserve"> to 3.47%.</w:t>
            </w:r>
            <w:r w:rsidRPr="00B5629E">
              <w:rPr>
                <w:rStyle w:val="st"/>
                <w:rFonts w:ascii="Georgia" w:hAnsi="Georgia"/>
                <w:sz w:val="20"/>
                <w:szCs w:val="20"/>
                <w:vertAlign w:val="superscript"/>
              </w:rPr>
              <w:t>19</w:t>
            </w:r>
          </w:p>
          <w:p w:rsidR="00A229B2" w:rsidRPr="00B5629E" w:rsidRDefault="00694929" w:rsidP="005D4165">
            <w:pPr>
              <w:rPr>
                <w:rStyle w:val="st"/>
                <w:rFonts w:ascii="Georgia" w:hAnsi="Georgia"/>
                <w:sz w:val="20"/>
                <w:szCs w:val="20"/>
              </w:rPr>
            </w:pPr>
            <w:r>
              <w:rPr>
                <w:rStyle w:val="st"/>
                <w:rFonts w:ascii="Georgia" w:hAnsi="Georgia"/>
                <w:sz w:val="20"/>
                <w:szCs w:val="20"/>
              </w:rPr>
              <w:t xml:space="preserve"> </w:t>
            </w:r>
          </w:p>
          <w:p w:rsidR="006C6C38" w:rsidRPr="00B5629E" w:rsidRDefault="00694929" w:rsidP="005D4165">
            <w:pPr>
              <w:rPr>
                <w:rStyle w:val="st"/>
                <w:rFonts w:ascii="Georgia" w:hAnsi="Georgia"/>
                <w:sz w:val="20"/>
                <w:szCs w:val="20"/>
              </w:rPr>
            </w:pPr>
            <w:r w:rsidRPr="00B5629E">
              <w:rPr>
                <w:rStyle w:val="st"/>
                <w:rFonts w:ascii="Georgia" w:hAnsi="Georgia"/>
                <w:sz w:val="20"/>
                <w:szCs w:val="20"/>
              </w:rPr>
              <w:t>Now to the latest statistics on home construction</w:t>
            </w:r>
            <w:r w:rsidRPr="00B5629E">
              <w:rPr>
                <w:rStyle w:val="st"/>
                <w:rFonts w:ascii="Georgia" w:hAnsi="Georgia"/>
                <w:sz w:val="20"/>
                <w:szCs w:val="20"/>
              </w:rPr>
              <w:t>.</w:t>
            </w:r>
            <w:r w:rsidRPr="00B5629E">
              <w:rPr>
                <w:rStyle w:val="st"/>
                <w:rFonts w:ascii="Georgia" w:hAnsi="Georgia"/>
                <w:sz w:val="20"/>
                <w:szCs w:val="20"/>
              </w:rPr>
              <w:t xml:space="preserve"> The Census Bureau reported a 3.3% gain for groundbreaking in November, with building permits down 1.4% (but there was a 1.4% rise for single-family permits).</w:t>
            </w:r>
            <w:r w:rsidRPr="00B5629E">
              <w:rPr>
                <w:rStyle w:val="st"/>
                <w:rFonts w:ascii="Georgia" w:hAnsi="Georgia"/>
                <w:sz w:val="20"/>
                <w:szCs w:val="20"/>
                <w:vertAlign w:val="superscript"/>
              </w:rPr>
              <w:t>18</w:t>
            </w:r>
            <w:r w:rsidRPr="00B5629E">
              <w:rPr>
                <w:rStyle w:val="st"/>
                <w:rFonts w:ascii="Georgia" w:hAnsi="Georgia"/>
                <w:sz w:val="20"/>
                <w:szCs w:val="20"/>
              </w:rPr>
              <w:t xml:space="preserve">  </w:t>
            </w:r>
          </w:p>
          <w:p w:rsidR="00245D8E" w:rsidRPr="00B5629E" w:rsidRDefault="00694929" w:rsidP="005D4165">
            <w:pPr>
              <w:rPr>
                <w:rFonts w:ascii="Georgia" w:hAnsi="Georgia"/>
                <w:sz w:val="20"/>
                <w:szCs w:val="20"/>
              </w:rPr>
            </w:pPr>
            <w:r w:rsidRPr="00B5629E">
              <w:rPr>
                <w:rStyle w:val="st"/>
                <w:rFonts w:ascii="Georgia" w:hAnsi="Georgia"/>
                <w:sz w:val="20"/>
                <w:szCs w:val="20"/>
              </w:rPr>
              <w:t xml:space="preserve"> </w:t>
            </w:r>
            <w:r>
              <w:rPr>
                <w:rStyle w:val="st"/>
                <w:rFonts w:ascii="Georgia" w:hAnsi="Georgia"/>
                <w:sz w:val="20"/>
                <w:szCs w:val="20"/>
              </w:rPr>
              <w:t xml:space="preserve"> </w:t>
            </w:r>
            <w:r w:rsidRPr="00B5629E">
              <w:rPr>
                <w:rStyle w:val="st"/>
                <w:rFonts w:ascii="Georgia" w:hAnsi="Georgia"/>
                <w:sz w:val="20"/>
                <w:szCs w:val="20"/>
              </w:rPr>
              <w:t xml:space="preserve"> </w:t>
            </w:r>
            <w:r w:rsidRPr="00B5629E">
              <w:rPr>
                <w:rStyle w:val="st"/>
                <w:rFonts w:ascii="Georgia" w:hAnsi="Georgia"/>
                <w:sz w:val="20"/>
                <w:szCs w:val="20"/>
              </w:rPr>
              <w:t xml:space="preserve"> </w:t>
            </w:r>
            <w:r w:rsidRPr="00B5629E">
              <w:rPr>
                <w:rStyle w:val="st"/>
                <w:rFonts w:ascii="Georgia" w:hAnsi="Georgia"/>
                <w:sz w:val="20"/>
                <w:szCs w:val="20"/>
              </w:rPr>
              <w:t xml:space="preserve"> </w:t>
            </w:r>
            <w:r w:rsidRPr="00B5629E">
              <w:rPr>
                <w:rFonts w:ascii="Georgia" w:hAnsi="Georgia"/>
                <w:sz w:val="20"/>
              </w:rPr>
              <w:t xml:space="preserve">    </w:t>
            </w:r>
          </w:p>
          <w:p w:rsidR="004971D2" w:rsidRDefault="00694929" w:rsidP="00396FEF">
            <w:pPr>
              <w:pStyle w:val="PlainText"/>
              <w:rPr>
                <w:rFonts w:ascii="Georgia" w:hAnsi="Georgia"/>
                <w:sz w:val="20"/>
                <w:szCs w:val="20"/>
              </w:rPr>
            </w:pPr>
            <w:r w:rsidRPr="00404DDA">
              <w:rPr>
                <w:rFonts w:ascii="Georgia" w:hAnsi="Georgia"/>
                <w:b/>
                <w:sz w:val="24"/>
                <w:szCs w:val="24"/>
              </w:rPr>
              <w:t>LOOKING BACK…LOOK</w:t>
            </w:r>
            <w:r w:rsidRPr="00B5629E">
              <w:rPr>
                <w:rFonts w:ascii="Georgia" w:hAnsi="Georgia"/>
                <w:b/>
                <w:sz w:val="24"/>
                <w:szCs w:val="24"/>
              </w:rPr>
              <w:t>ING FORWARD</w:t>
            </w:r>
            <w:r w:rsidRPr="00B5629E">
              <w:rPr>
                <w:rFonts w:ascii="Georgia" w:hAnsi="Georgia"/>
                <w:b/>
              </w:rPr>
              <w:t xml:space="preserve"> </w:t>
            </w:r>
            <w:r w:rsidRPr="00B5629E">
              <w:rPr>
                <w:rFonts w:ascii="Georgia" w:hAnsi="Georgia"/>
                <w:b/>
              </w:rPr>
              <w:br/>
            </w:r>
            <w:r w:rsidRPr="00B5629E">
              <w:rPr>
                <w:rFonts w:ascii="Georgia" w:hAnsi="Georgia"/>
                <w:sz w:val="20"/>
                <w:szCs w:val="20"/>
              </w:rPr>
              <w:t xml:space="preserve">Blue chips led the way in December: the Dow Jones </w:t>
            </w:r>
            <w:r w:rsidRPr="00B5629E">
              <w:rPr>
                <w:rFonts w:ascii="Georgia" w:hAnsi="Georgia"/>
                <w:sz w:val="20"/>
                <w:szCs w:val="20"/>
              </w:rPr>
              <w:t>Industrial Average added 1.84% last month, far outpacing the S&amp;P 500 (+0.98%), the Nasdaq Composite (+0.43%), and the Russell 2000 (-0.53%).</w:t>
            </w:r>
            <w:r w:rsidRPr="00B5629E">
              <w:rPr>
                <w:rFonts w:ascii="Georgia" w:hAnsi="Georgia"/>
                <w:sz w:val="20"/>
                <w:szCs w:val="20"/>
                <w:vertAlign w:val="superscript"/>
              </w:rPr>
              <w:t>1,</w:t>
            </w:r>
            <w:r w:rsidRPr="00B5629E">
              <w:rPr>
                <w:rFonts w:ascii="Georgia" w:hAnsi="Georgia"/>
                <w:sz w:val="20"/>
                <w:szCs w:val="20"/>
                <w:vertAlign w:val="superscript"/>
              </w:rPr>
              <w:t>20</w:t>
            </w:r>
            <w:r w:rsidRPr="004840FF">
              <w:rPr>
                <w:rFonts w:ascii="Georgia" w:hAnsi="Georgia"/>
                <w:sz w:val="20"/>
                <w:szCs w:val="20"/>
              </w:rPr>
              <w:t xml:space="preserve"> </w:t>
            </w:r>
          </w:p>
          <w:p w:rsidR="004971D2" w:rsidRDefault="00694929" w:rsidP="00396FEF">
            <w:pPr>
              <w:pStyle w:val="PlainText"/>
              <w:rPr>
                <w:rFonts w:ascii="Georgia" w:hAnsi="Georgia"/>
                <w:sz w:val="20"/>
                <w:szCs w:val="20"/>
              </w:rPr>
            </w:pPr>
            <w:r>
              <w:rPr>
                <w:rFonts w:ascii="Georgia" w:hAnsi="Georgia"/>
                <w:sz w:val="20"/>
                <w:szCs w:val="20"/>
              </w:rPr>
              <w:t xml:space="preserve"> </w:t>
            </w:r>
          </w:p>
          <w:p w:rsidR="00CF6277" w:rsidRPr="00B5629E" w:rsidRDefault="00694929" w:rsidP="00396FEF">
            <w:pPr>
              <w:pStyle w:val="PlainText"/>
              <w:rPr>
                <w:rFonts w:ascii="Georgia" w:hAnsi="Georgia" w:cs="Courier New"/>
                <w:sz w:val="20"/>
                <w:szCs w:val="20"/>
              </w:rPr>
            </w:pPr>
            <w:r w:rsidRPr="004840FF">
              <w:rPr>
                <w:rFonts w:ascii="Georgia" w:hAnsi="Georgia"/>
                <w:sz w:val="20"/>
                <w:szCs w:val="20"/>
              </w:rPr>
              <w:t xml:space="preserve">As the table below </w:t>
            </w:r>
            <w:r>
              <w:rPr>
                <w:rFonts w:ascii="Georgia" w:hAnsi="Georgia"/>
                <w:sz w:val="20"/>
                <w:szCs w:val="20"/>
              </w:rPr>
              <w:t>notes</w:t>
            </w:r>
            <w:r w:rsidRPr="004840FF">
              <w:rPr>
                <w:rFonts w:ascii="Georgia" w:hAnsi="Georgia"/>
                <w:sz w:val="20"/>
                <w:szCs w:val="20"/>
              </w:rPr>
              <w:t>, the Dow also recorded the best 2017 gain of the big three.</w:t>
            </w:r>
            <w:r w:rsidRPr="00B5629E">
              <w:rPr>
                <w:rFonts w:ascii="Georgia" w:hAnsi="Georgia"/>
                <w:sz w:val="20"/>
                <w:szCs w:val="20"/>
              </w:rPr>
              <w:t xml:space="preserve"> (The Russell 2000 rose </w:t>
            </w:r>
            <w:r w:rsidRPr="00B5629E">
              <w:rPr>
                <w:rFonts w:ascii="Georgia" w:hAnsi="Georgia" w:cs="Courier New"/>
                <w:sz w:val="20"/>
                <w:szCs w:val="20"/>
              </w:rPr>
              <w:t>13.14% on the year.)</w:t>
            </w:r>
            <w:r w:rsidRPr="00B5629E">
              <w:rPr>
                <w:rFonts w:ascii="Georgia" w:hAnsi="Georgia" w:cs="Courier New"/>
                <w:sz w:val="20"/>
                <w:szCs w:val="20"/>
              </w:rPr>
              <w:t xml:space="preserve"> </w:t>
            </w:r>
            <w:r w:rsidRPr="00B5629E">
              <w:rPr>
                <w:rFonts w:ascii="Georgia" w:hAnsi="Georgia"/>
                <w:sz w:val="20"/>
                <w:szCs w:val="20"/>
              </w:rPr>
              <w:t>At the closing bell on December 29, the settlements were: Dow, 24,719.22; S&amp;P, 2,673.61; Nasdaq, 6,903.39; Russell</w:t>
            </w:r>
            <w:r w:rsidRPr="00B5629E">
              <w:rPr>
                <w:rFonts w:ascii="Georgia" w:hAnsi="Georgia"/>
                <w:sz w:val="20"/>
                <w:szCs w:val="20"/>
              </w:rPr>
              <w:t>, 1,535.51.</w:t>
            </w:r>
            <w:r w:rsidRPr="00B5629E">
              <w:rPr>
                <w:rFonts w:ascii="Georgia" w:hAnsi="Georgia" w:cs="Courier New"/>
                <w:sz w:val="20"/>
                <w:szCs w:val="20"/>
                <w:vertAlign w:val="superscript"/>
              </w:rPr>
              <w:t>20</w:t>
            </w:r>
            <w:r w:rsidRPr="00B5629E">
              <w:rPr>
                <w:rFonts w:ascii="Georgia" w:hAnsi="Georgia" w:cs="Courier New"/>
                <w:sz w:val="20"/>
                <w:szCs w:val="20"/>
                <w:vertAlign w:val="superscript"/>
              </w:rPr>
              <w:t>,</w:t>
            </w:r>
            <w:r w:rsidRPr="00B5629E">
              <w:rPr>
                <w:rFonts w:ascii="Georgia" w:hAnsi="Georgia" w:cs="Courier New"/>
                <w:sz w:val="20"/>
                <w:szCs w:val="20"/>
                <w:vertAlign w:val="superscript"/>
              </w:rPr>
              <w:t>21</w:t>
            </w:r>
          </w:p>
          <w:p w:rsidR="00CF6277" w:rsidRPr="00B5629E" w:rsidRDefault="00694929" w:rsidP="00396FEF">
            <w:pPr>
              <w:pStyle w:val="PlainText"/>
              <w:rPr>
                <w:rFonts w:ascii="Georgia" w:hAnsi="Georgia" w:cs="Courier New"/>
                <w:sz w:val="20"/>
                <w:szCs w:val="20"/>
              </w:rPr>
            </w:pPr>
            <w:r w:rsidRPr="00B5629E">
              <w:rPr>
                <w:rFonts w:ascii="Georgia" w:hAnsi="Georgia" w:cs="Courier New"/>
                <w:sz w:val="20"/>
                <w:szCs w:val="20"/>
              </w:rPr>
              <w:t xml:space="preserve"> </w:t>
            </w:r>
            <w:r>
              <w:rPr>
                <w:rFonts w:ascii="Georgia" w:hAnsi="Georgia" w:cs="Courier New"/>
                <w:sz w:val="20"/>
                <w:szCs w:val="20"/>
              </w:rPr>
              <w:t xml:space="preserve"> </w:t>
            </w:r>
            <w:r w:rsidRPr="00B5629E">
              <w:rPr>
                <w:rFonts w:ascii="Georgia" w:hAnsi="Georgia" w:cs="Courier New"/>
                <w:sz w:val="20"/>
                <w:szCs w:val="20"/>
              </w:rPr>
              <w:t xml:space="preserve"> </w:t>
            </w:r>
          </w:p>
          <w:p w:rsidR="00245D8E" w:rsidRPr="008B4F9C" w:rsidRDefault="00694929" w:rsidP="00396FEF">
            <w:pPr>
              <w:pStyle w:val="PlainText"/>
              <w:rPr>
                <w:rFonts w:ascii="Georgia" w:hAnsi="Georgia" w:cs="Courier New"/>
                <w:color w:val="002060"/>
                <w:sz w:val="20"/>
                <w:szCs w:val="20"/>
              </w:rPr>
            </w:pPr>
            <w:r w:rsidRPr="00B5629E">
              <w:rPr>
                <w:rFonts w:ascii="Georgia" w:hAnsi="Georgia"/>
                <w:sz w:val="20"/>
                <w:szCs w:val="20"/>
              </w:rPr>
              <w:t>The CBOE VIX, which gaug</w:t>
            </w:r>
            <w:r w:rsidRPr="00B5629E">
              <w:rPr>
                <w:rFonts w:ascii="Georgia" w:hAnsi="Georgia"/>
                <w:sz w:val="20"/>
                <w:szCs w:val="20"/>
              </w:rPr>
              <w:t>es</w:t>
            </w:r>
            <w:r w:rsidRPr="00B5629E">
              <w:rPr>
                <w:rFonts w:ascii="Georgia" w:hAnsi="Georgia"/>
                <w:sz w:val="20"/>
                <w:szCs w:val="20"/>
              </w:rPr>
              <w:t xml:space="preserve"> volatility in the markets, had a poor year: it fell 21.37% to 11.04</w:t>
            </w:r>
            <w:r w:rsidRPr="00B5629E">
              <w:rPr>
                <w:rFonts w:ascii="Georgia" w:hAnsi="Georgia" w:cs="Courier New"/>
                <w:sz w:val="20"/>
                <w:szCs w:val="20"/>
              </w:rPr>
              <w:t>.</w:t>
            </w:r>
            <w:r w:rsidRPr="00B5629E">
              <w:rPr>
                <w:rFonts w:ascii="Georgia" w:hAnsi="Georgia" w:cs="Courier New"/>
                <w:sz w:val="20"/>
                <w:szCs w:val="20"/>
              </w:rPr>
              <w:t xml:space="preserve"> The NYSE Arca Biotech index had a phenomenal </w:t>
            </w:r>
            <w:r w:rsidRPr="00B5629E">
              <w:rPr>
                <w:rFonts w:ascii="Georgia" w:hAnsi="Georgia" w:cs="Courier New"/>
                <w:sz w:val="20"/>
                <w:szCs w:val="20"/>
              </w:rPr>
              <w:t>2017</w:t>
            </w:r>
            <w:r w:rsidRPr="00B5629E">
              <w:rPr>
                <w:rFonts w:ascii="Georgia" w:hAnsi="Georgia" w:cs="Courier New"/>
                <w:sz w:val="20"/>
                <w:szCs w:val="20"/>
              </w:rPr>
              <w:t xml:space="preserve">, </w:t>
            </w:r>
            <w:r w:rsidRPr="00B5629E">
              <w:rPr>
                <w:rFonts w:ascii="Georgia" w:hAnsi="Georgia" w:cs="Courier New"/>
                <w:sz w:val="20"/>
                <w:szCs w:val="20"/>
              </w:rPr>
              <w:t>climbing</w:t>
            </w:r>
            <w:r w:rsidRPr="00B5629E">
              <w:rPr>
                <w:rFonts w:ascii="Georgia" w:hAnsi="Georgia" w:cs="Courier New"/>
                <w:sz w:val="20"/>
                <w:szCs w:val="20"/>
              </w:rPr>
              <w:t xml:space="preserve"> 37.31%.</w:t>
            </w:r>
            <w:r w:rsidRPr="00B5629E">
              <w:rPr>
                <w:rFonts w:ascii="Georgia" w:hAnsi="Georgia"/>
                <w:sz w:val="20"/>
                <w:szCs w:val="20"/>
                <w:vertAlign w:val="superscript"/>
              </w:rPr>
              <w:t>21</w:t>
            </w:r>
            <w:r w:rsidRPr="008B4F9C">
              <w:rPr>
                <w:rFonts w:ascii="Georgia" w:hAnsi="Georgia"/>
                <w:color w:val="002060"/>
                <w:sz w:val="20"/>
                <w:szCs w:val="20"/>
              </w:rPr>
              <w:t xml:space="preserve">     </w:t>
            </w:r>
          </w:p>
          <w:p w:rsidR="00245D8E" w:rsidRPr="00171D26" w:rsidRDefault="00694929" w:rsidP="005D4165">
            <w:pPr>
              <w:pStyle w:val="PlainText"/>
              <w:rPr>
                <w:rFonts w:ascii="Georgia" w:hAnsi="Georgia"/>
                <w:color w:val="1F3864"/>
                <w:sz w:val="20"/>
                <w:szCs w:val="20"/>
              </w:rPr>
            </w:pPr>
            <w:r w:rsidRPr="00171D26">
              <w:rPr>
                <w:rFonts w:ascii="Georgia" w:hAnsi="Georgia"/>
                <w:color w:val="1F3864"/>
                <w:sz w:val="20"/>
                <w:szCs w:val="20"/>
              </w:rPr>
              <w:t xml:space="preserve"> </w:t>
            </w:r>
            <w:r w:rsidRPr="00171D26">
              <w:rPr>
                <w:rFonts w:ascii="Georgia" w:hAnsi="Georgia"/>
                <w:color w:val="1F3864"/>
              </w:rPr>
              <w:t xml:space="preserve">      </w:t>
            </w:r>
          </w:p>
          <w:tbl>
            <w:tblPr>
              <w:tblW w:w="68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368"/>
              <w:gridCol w:w="1368"/>
              <w:gridCol w:w="1368"/>
              <w:gridCol w:w="1368"/>
              <w:gridCol w:w="1368"/>
            </w:tblGrid>
            <w:tr w:rsidR="00F71EDF" w:rsidTr="005D4165">
              <w:trPr>
                <w:trHeight w:val="319"/>
                <w:jc w:val="center"/>
              </w:trPr>
              <w:tc>
                <w:tcPr>
                  <w:tcW w:w="1368" w:type="dxa"/>
                  <w:shd w:val="clear" w:color="auto" w:fill="F3F3F3"/>
                  <w:vAlign w:val="center"/>
                </w:tcPr>
                <w:p w:rsidR="00245D8E" w:rsidRDefault="00694929" w:rsidP="005D4165">
                  <w:pPr>
                    <w:jc w:val="center"/>
                    <w:rPr>
                      <w:rFonts w:ascii="Verdana" w:hAnsi="Verdana"/>
                      <w:sz w:val="18"/>
                    </w:rPr>
                  </w:pPr>
                  <w:r>
                    <w:rPr>
                      <w:rFonts w:ascii="Verdana" w:hAnsi="Verdana"/>
                      <w:sz w:val="18"/>
                    </w:rPr>
                    <w:t>% CHANGE</w:t>
                  </w:r>
                </w:p>
              </w:tc>
              <w:tc>
                <w:tcPr>
                  <w:tcW w:w="1368" w:type="dxa"/>
                  <w:shd w:val="clear" w:color="auto" w:fill="F3F3F3"/>
                  <w:vAlign w:val="center"/>
                </w:tcPr>
                <w:p w:rsidR="00245D8E" w:rsidRDefault="00694929" w:rsidP="005D4165">
                  <w:pPr>
                    <w:jc w:val="center"/>
                    <w:rPr>
                      <w:rFonts w:ascii="Verdana" w:hAnsi="Verdana"/>
                      <w:sz w:val="18"/>
                    </w:rPr>
                  </w:pPr>
                  <w:r>
                    <w:rPr>
                      <w:rFonts w:ascii="Verdana" w:hAnsi="Verdana"/>
                      <w:sz w:val="18"/>
                    </w:rPr>
                    <w:t>2017</w:t>
                  </w:r>
                </w:p>
              </w:tc>
              <w:tc>
                <w:tcPr>
                  <w:tcW w:w="1368" w:type="dxa"/>
                  <w:shd w:val="clear" w:color="auto" w:fill="F3F3F3"/>
                  <w:vAlign w:val="center"/>
                </w:tcPr>
                <w:p w:rsidR="00245D8E" w:rsidRDefault="00694929" w:rsidP="005D4165">
                  <w:pPr>
                    <w:jc w:val="center"/>
                    <w:rPr>
                      <w:rFonts w:ascii="Verdana" w:hAnsi="Verdana"/>
                      <w:sz w:val="18"/>
                    </w:rPr>
                  </w:pPr>
                  <w:r>
                    <w:rPr>
                      <w:rFonts w:ascii="Verdana" w:hAnsi="Verdana"/>
                      <w:sz w:val="18"/>
                    </w:rPr>
                    <w:t>1-YR CHG</w:t>
                  </w:r>
                </w:p>
              </w:tc>
              <w:tc>
                <w:tcPr>
                  <w:tcW w:w="1368" w:type="dxa"/>
                  <w:shd w:val="clear" w:color="auto" w:fill="F3F3F3"/>
                  <w:vAlign w:val="center"/>
                </w:tcPr>
                <w:p w:rsidR="00245D8E" w:rsidRDefault="00694929" w:rsidP="005D4165">
                  <w:pPr>
                    <w:jc w:val="center"/>
                    <w:rPr>
                      <w:rFonts w:ascii="Verdana" w:hAnsi="Verdana"/>
                      <w:sz w:val="18"/>
                    </w:rPr>
                  </w:pPr>
                  <w:r>
                    <w:rPr>
                      <w:rFonts w:ascii="Verdana" w:hAnsi="Verdana"/>
                      <w:sz w:val="18"/>
                    </w:rPr>
                    <w:t>5-YR AVG</w:t>
                  </w:r>
                </w:p>
              </w:tc>
              <w:tc>
                <w:tcPr>
                  <w:tcW w:w="1368" w:type="dxa"/>
                  <w:shd w:val="clear" w:color="auto" w:fill="F3F3F3"/>
                  <w:vAlign w:val="center"/>
                </w:tcPr>
                <w:p w:rsidR="00245D8E" w:rsidRDefault="00694929" w:rsidP="005D4165">
                  <w:pPr>
                    <w:jc w:val="center"/>
                    <w:rPr>
                      <w:rFonts w:ascii="Verdana" w:hAnsi="Verdana"/>
                      <w:sz w:val="18"/>
                    </w:rPr>
                  </w:pPr>
                  <w:r>
                    <w:rPr>
                      <w:rFonts w:ascii="Verdana" w:hAnsi="Verdana"/>
                      <w:sz w:val="18"/>
                    </w:rPr>
                    <w:t>10-YR AVG</w:t>
                  </w:r>
                </w:p>
              </w:tc>
            </w:tr>
            <w:tr w:rsidR="00F71EDF" w:rsidTr="005D4165">
              <w:trPr>
                <w:trHeight w:val="319"/>
                <w:jc w:val="center"/>
              </w:trPr>
              <w:tc>
                <w:tcPr>
                  <w:tcW w:w="1368" w:type="dxa"/>
                  <w:vAlign w:val="center"/>
                </w:tcPr>
                <w:p w:rsidR="004840FF" w:rsidRDefault="00694929" w:rsidP="004840FF">
                  <w:pPr>
                    <w:jc w:val="center"/>
                    <w:rPr>
                      <w:rFonts w:ascii="Verdana" w:hAnsi="Verdana"/>
                      <w:color w:val="808080"/>
                      <w:sz w:val="20"/>
                    </w:rPr>
                  </w:pPr>
                  <w:r>
                    <w:rPr>
                      <w:rFonts w:ascii="Verdana" w:hAnsi="Verdana"/>
                      <w:color w:val="808080"/>
                      <w:sz w:val="20"/>
                    </w:rPr>
                    <w:t>DJIA</w:t>
                  </w:r>
                </w:p>
              </w:tc>
              <w:tc>
                <w:tcPr>
                  <w:tcW w:w="1368" w:type="dxa"/>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+25.08</w:t>
                  </w:r>
                </w:p>
              </w:tc>
              <w:tc>
                <w:tcPr>
                  <w:tcW w:w="1368" w:type="dxa"/>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+24.72</w:t>
                  </w:r>
                </w:p>
              </w:tc>
              <w:tc>
                <w:tcPr>
                  <w:tcW w:w="1368" w:type="dxa"/>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+18.21</w:t>
                  </w:r>
                </w:p>
              </w:tc>
              <w:tc>
                <w:tcPr>
                  <w:tcW w:w="1368" w:type="dxa"/>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+8.49</w:t>
                  </w:r>
                </w:p>
              </w:tc>
            </w:tr>
            <w:tr w:rsidR="00F71EDF" w:rsidTr="005D4165">
              <w:trPr>
                <w:trHeight w:val="323"/>
                <w:jc w:val="center"/>
              </w:trPr>
              <w:tc>
                <w:tcPr>
                  <w:tcW w:w="1368" w:type="dxa"/>
                  <w:vAlign w:val="center"/>
                </w:tcPr>
                <w:p w:rsidR="004840FF" w:rsidRDefault="00694929" w:rsidP="004840FF">
                  <w:pPr>
                    <w:jc w:val="center"/>
                    <w:rPr>
                      <w:rFonts w:ascii="Verdana" w:hAnsi="Verdana"/>
                      <w:color w:val="808080"/>
                      <w:sz w:val="20"/>
                    </w:rPr>
                  </w:pPr>
                  <w:r>
                    <w:rPr>
                      <w:rFonts w:ascii="Verdana" w:hAnsi="Verdana"/>
                      <w:color w:val="808080"/>
                      <w:sz w:val="20"/>
                    </w:rPr>
                    <w:t>NASDAQ</w:t>
                  </w:r>
                </w:p>
              </w:tc>
              <w:tc>
                <w:tcPr>
                  <w:tcW w:w="1368" w:type="dxa"/>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+28.24</w:t>
                  </w:r>
                </w:p>
              </w:tc>
              <w:tc>
                <w:tcPr>
                  <w:tcW w:w="1368" w:type="dxa"/>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+27.09</w:t>
                  </w:r>
                </w:p>
              </w:tc>
              <w:tc>
                <w:tcPr>
                  <w:tcW w:w="1368" w:type="dxa"/>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+26.64</w:t>
                  </w:r>
                </w:p>
              </w:tc>
              <w:tc>
                <w:tcPr>
                  <w:tcW w:w="1368" w:type="dxa"/>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+15.81</w:t>
                  </w:r>
                </w:p>
              </w:tc>
            </w:tr>
            <w:tr w:rsidR="00F71EDF" w:rsidTr="005D4165">
              <w:trPr>
                <w:trHeight w:val="319"/>
                <w:jc w:val="center"/>
              </w:trPr>
              <w:tc>
                <w:tcPr>
                  <w:tcW w:w="1368" w:type="dxa"/>
                  <w:tcBorders>
                    <w:bottom w:val="single" w:sz="4" w:space="0" w:color="C0C0C0"/>
                  </w:tcBorders>
                  <w:vAlign w:val="center"/>
                </w:tcPr>
                <w:p w:rsidR="004840FF" w:rsidRPr="003C108C" w:rsidRDefault="00694929" w:rsidP="004840FF">
                  <w:pPr>
                    <w:jc w:val="center"/>
                    <w:rPr>
                      <w:rFonts w:ascii="Verdana" w:hAnsi="Verdana"/>
                      <w:color w:val="808080" w:themeColor="background1" w:themeShade="80"/>
                      <w:sz w:val="20"/>
                    </w:rPr>
                  </w:pPr>
                  <w:r w:rsidRPr="003C108C">
                    <w:rPr>
                      <w:rFonts w:ascii="Verdana" w:hAnsi="Verdana"/>
                      <w:color w:val="808080" w:themeColor="background1" w:themeShade="80"/>
                      <w:sz w:val="20"/>
                    </w:rPr>
                    <w:t>S&amp;P 500</w:t>
                  </w:r>
                </w:p>
              </w:tc>
              <w:tc>
                <w:tcPr>
                  <w:tcW w:w="1368" w:type="dxa"/>
                  <w:tcBorders>
                    <w:bottom w:val="single" w:sz="4" w:space="0" w:color="C0C0C0"/>
                  </w:tcBorders>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+19.42</w:t>
                  </w:r>
                </w:p>
              </w:tc>
              <w:tc>
                <w:tcPr>
                  <w:tcW w:w="1368" w:type="dxa"/>
                  <w:tcBorders>
                    <w:bottom w:val="single" w:sz="4" w:space="0" w:color="C0C0C0"/>
                  </w:tcBorders>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+18.87</w:t>
                  </w:r>
                </w:p>
              </w:tc>
              <w:tc>
                <w:tcPr>
                  <w:tcW w:w="1368" w:type="dxa"/>
                  <w:tcBorders>
                    <w:bottom w:val="single" w:sz="4" w:space="0" w:color="C0C0C0"/>
                  </w:tcBorders>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+18.13</w:t>
                  </w:r>
                </w:p>
              </w:tc>
              <w:tc>
                <w:tcPr>
                  <w:tcW w:w="1368" w:type="dxa"/>
                  <w:tcBorders>
                    <w:bottom w:val="single" w:sz="4" w:space="0" w:color="C0C0C0"/>
                  </w:tcBorders>
                  <w:vAlign w:val="center"/>
                </w:tcPr>
                <w:p w:rsidR="004840FF" w:rsidRPr="00921D8C" w:rsidRDefault="00694929" w:rsidP="004840FF">
                  <w:pPr>
                    <w:jc w:val="center"/>
                    <w:rPr>
                      <w:rFonts w:ascii="Verdana" w:hAnsi="Verdana"/>
                      <w:color w:val="808080"/>
                      <w:sz w:val="20"/>
                      <w:szCs w:val="20"/>
                    </w:rPr>
                  </w:pPr>
                  <w:r w:rsidRPr="00921D8C">
                    <w:rPr>
                      <w:rFonts w:ascii="Verdana" w:hAnsi="Verdana"/>
                      <w:color w:val="808080"/>
                      <w:sz w:val="20"/>
                      <w:szCs w:val="20"/>
                    </w:rPr>
                    <w:t>+8.08</w:t>
                  </w:r>
                </w:p>
              </w:tc>
            </w:tr>
            <w:tr w:rsidR="00F71EDF" w:rsidTr="005D4165">
              <w:trPr>
                <w:trHeight w:val="319"/>
                <w:jc w:val="center"/>
              </w:trPr>
              <w:tc>
                <w:tcPr>
                  <w:tcW w:w="1368" w:type="dxa"/>
                  <w:shd w:val="clear" w:color="auto" w:fill="F3F3F3"/>
                  <w:vAlign w:val="center"/>
                </w:tcPr>
                <w:p w:rsidR="00245D8E" w:rsidRDefault="00694929" w:rsidP="005D4165">
                  <w:pPr>
                    <w:jc w:val="center"/>
                    <w:rPr>
                      <w:rFonts w:ascii="Verdana" w:hAnsi="Verdana"/>
                      <w:sz w:val="18"/>
                    </w:rPr>
                  </w:pPr>
                  <w:r>
                    <w:rPr>
                      <w:rFonts w:ascii="Verdana" w:hAnsi="Verdana"/>
                      <w:sz w:val="18"/>
                    </w:rPr>
                    <w:t>REAL YIELD</w:t>
                  </w:r>
                </w:p>
              </w:tc>
              <w:tc>
                <w:tcPr>
                  <w:tcW w:w="1368" w:type="dxa"/>
                  <w:shd w:val="clear" w:color="auto" w:fill="F3F3F3"/>
                  <w:vAlign w:val="center"/>
                </w:tcPr>
                <w:p w:rsidR="00245D8E" w:rsidRPr="00A8771C" w:rsidRDefault="00694929" w:rsidP="005D4165">
                  <w:pPr>
                    <w:jc w:val="center"/>
                    <w:rPr>
                      <w:rFonts w:ascii="Verdana" w:hAnsi="Verdana"/>
                      <w:sz w:val="18"/>
                      <w:szCs w:val="18"/>
                    </w:rPr>
                  </w:pPr>
                  <w:r>
                    <w:rPr>
                      <w:rFonts w:ascii="Verdana" w:hAnsi="Verdana"/>
                      <w:sz w:val="18"/>
                      <w:szCs w:val="18"/>
                    </w:rPr>
                    <w:t>12/29</w:t>
                  </w:r>
                  <w:r w:rsidRPr="00A8771C">
                    <w:rPr>
                      <w:rFonts w:ascii="Verdana" w:hAnsi="Verdana"/>
                      <w:sz w:val="18"/>
                      <w:szCs w:val="18"/>
                    </w:rPr>
                    <w:t xml:space="preserve"> RATE</w:t>
                  </w:r>
                </w:p>
              </w:tc>
              <w:tc>
                <w:tcPr>
                  <w:tcW w:w="1368" w:type="dxa"/>
                  <w:shd w:val="clear" w:color="auto" w:fill="F3F3F3"/>
                  <w:vAlign w:val="center"/>
                </w:tcPr>
                <w:p w:rsidR="00245D8E" w:rsidRPr="00A8771C" w:rsidRDefault="00694929" w:rsidP="005D4165">
                  <w:pPr>
                    <w:jc w:val="center"/>
                    <w:rPr>
                      <w:rFonts w:ascii="Verdana" w:hAnsi="Verdana"/>
                      <w:sz w:val="18"/>
                      <w:szCs w:val="18"/>
                    </w:rPr>
                  </w:pPr>
                  <w:r w:rsidRPr="00A8771C">
                    <w:rPr>
                      <w:rFonts w:ascii="Verdana" w:hAnsi="Verdana"/>
                      <w:sz w:val="18"/>
                      <w:szCs w:val="18"/>
                    </w:rPr>
                    <w:t xml:space="preserve">1 </w:t>
                  </w:r>
                  <w:r w:rsidRPr="00A8771C">
                    <w:rPr>
                      <w:rFonts w:ascii="Verdana" w:hAnsi="Verdana"/>
                      <w:sz w:val="18"/>
                      <w:szCs w:val="18"/>
                    </w:rPr>
                    <w:t>YR AGO</w:t>
                  </w:r>
                </w:p>
              </w:tc>
              <w:tc>
                <w:tcPr>
                  <w:tcW w:w="1368" w:type="dxa"/>
                  <w:shd w:val="clear" w:color="auto" w:fill="F3F3F3"/>
                  <w:vAlign w:val="center"/>
                </w:tcPr>
                <w:p w:rsidR="00245D8E" w:rsidRPr="00A8771C" w:rsidRDefault="00694929" w:rsidP="005D4165">
                  <w:pPr>
                    <w:jc w:val="center"/>
                    <w:rPr>
                      <w:rFonts w:ascii="Verdana" w:hAnsi="Verdana"/>
                      <w:sz w:val="18"/>
                      <w:szCs w:val="18"/>
                    </w:rPr>
                  </w:pPr>
                  <w:r w:rsidRPr="00A8771C">
                    <w:rPr>
                      <w:rFonts w:ascii="Verdana" w:hAnsi="Verdana"/>
                      <w:sz w:val="18"/>
                      <w:szCs w:val="18"/>
                    </w:rPr>
                    <w:t>5 YRS AGO</w:t>
                  </w:r>
                </w:p>
              </w:tc>
              <w:tc>
                <w:tcPr>
                  <w:tcW w:w="1368" w:type="dxa"/>
                  <w:shd w:val="clear" w:color="auto" w:fill="F3F3F3"/>
                  <w:vAlign w:val="center"/>
                </w:tcPr>
                <w:p w:rsidR="00245D8E" w:rsidRPr="00A8771C" w:rsidRDefault="00694929" w:rsidP="005D4165">
                  <w:pPr>
                    <w:jc w:val="center"/>
                    <w:rPr>
                      <w:rFonts w:ascii="Verdana" w:hAnsi="Verdana"/>
                      <w:sz w:val="18"/>
                      <w:szCs w:val="18"/>
                    </w:rPr>
                  </w:pPr>
                  <w:r w:rsidRPr="00A8771C">
                    <w:rPr>
                      <w:rFonts w:ascii="Verdana" w:hAnsi="Verdana"/>
                      <w:sz w:val="18"/>
                      <w:szCs w:val="18"/>
                    </w:rPr>
                    <w:t>10 YRS AGO</w:t>
                  </w:r>
                </w:p>
              </w:tc>
            </w:tr>
            <w:tr w:rsidR="00F71EDF" w:rsidTr="005D4165">
              <w:trPr>
                <w:trHeight w:val="70"/>
                <w:jc w:val="center"/>
              </w:trPr>
              <w:tc>
                <w:tcPr>
                  <w:tcW w:w="1368" w:type="dxa"/>
                  <w:vAlign w:val="center"/>
                </w:tcPr>
                <w:p w:rsidR="00FC46AF" w:rsidRPr="007E375F" w:rsidRDefault="00694929" w:rsidP="00FC46AF">
                  <w:pPr>
                    <w:jc w:val="center"/>
                    <w:rPr>
                      <w:rFonts w:ascii="Verdana" w:hAnsi="Verdana"/>
                      <w:color w:val="808080" w:themeColor="background1" w:themeShade="80"/>
                      <w:sz w:val="20"/>
                    </w:rPr>
                  </w:pPr>
                  <w:r w:rsidRPr="007E375F">
                    <w:rPr>
                      <w:rFonts w:ascii="Verdana" w:hAnsi="Verdana"/>
                      <w:color w:val="808080" w:themeColor="background1" w:themeShade="80"/>
                      <w:sz w:val="20"/>
                    </w:rPr>
                    <w:t>10 YR TIPS</w:t>
                  </w:r>
                </w:p>
              </w:tc>
              <w:tc>
                <w:tcPr>
                  <w:tcW w:w="1368" w:type="dxa"/>
                  <w:vAlign w:val="center"/>
                </w:tcPr>
                <w:p w:rsidR="00FC46AF" w:rsidRPr="00921D8C" w:rsidRDefault="00694929" w:rsidP="00FC46AF">
                  <w:pPr>
                    <w:ind w:left="720" w:hanging="720"/>
                    <w:jc w:val="center"/>
                    <w:rPr>
                      <w:rFonts w:ascii="Verdana" w:hAnsi="Verdana"/>
                      <w:color w:val="808080"/>
                      <w:sz w:val="20"/>
                      <w:szCs w:val="20"/>
                    </w:rPr>
                  </w:pPr>
                  <w:r w:rsidRPr="00921D8C">
                    <w:rPr>
                      <w:rFonts w:ascii="Verdana" w:hAnsi="Verdana"/>
                      <w:color w:val="808080"/>
                      <w:sz w:val="20"/>
                      <w:szCs w:val="20"/>
                    </w:rPr>
                    <w:t>0.44%</w:t>
                  </w:r>
                </w:p>
              </w:tc>
              <w:tc>
                <w:tcPr>
                  <w:tcW w:w="1368" w:type="dxa"/>
                  <w:vAlign w:val="center"/>
                </w:tcPr>
                <w:p w:rsidR="00FC46AF" w:rsidRPr="00921D8C" w:rsidRDefault="00694929" w:rsidP="00FC46AF">
                  <w:pPr>
                    <w:ind w:left="720" w:hanging="720"/>
                    <w:jc w:val="center"/>
                    <w:rPr>
                      <w:rFonts w:ascii="Verdana" w:hAnsi="Verdana"/>
                      <w:color w:val="808080"/>
                      <w:sz w:val="20"/>
                      <w:szCs w:val="20"/>
                    </w:rPr>
                  </w:pPr>
                  <w:r w:rsidRPr="00921D8C">
                    <w:rPr>
                      <w:rFonts w:ascii="Verdana" w:hAnsi="Verdana"/>
                      <w:color w:val="808080"/>
                      <w:sz w:val="20"/>
                      <w:szCs w:val="20"/>
                    </w:rPr>
                    <w:t>0.55%</w:t>
                  </w:r>
                </w:p>
              </w:tc>
              <w:tc>
                <w:tcPr>
                  <w:tcW w:w="1368" w:type="dxa"/>
                  <w:vAlign w:val="center"/>
                </w:tcPr>
                <w:p w:rsidR="00FC46AF" w:rsidRPr="00921D8C" w:rsidRDefault="00694929" w:rsidP="00FC46AF">
                  <w:pPr>
                    <w:ind w:left="720" w:hanging="720"/>
                    <w:jc w:val="center"/>
                    <w:rPr>
                      <w:rFonts w:ascii="Verdana" w:hAnsi="Verdana"/>
                      <w:color w:val="808080"/>
                      <w:sz w:val="20"/>
                      <w:szCs w:val="20"/>
                    </w:rPr>
                  </w:pPr>
                  <w:r w:rsidRPr="00921D8C">
                    <w:rPr>
                      <w:rFonts w:ascii="Verdana" w:hAnsi="Verdana"/>
                      <w:color w:val="808080"/>
                      <w:sz w:val="20"/>
                      <w:szCs w:val="20"/>
                    </w:rPr>
                    <w:t>-0.73%</w:t>
                  </w:r>
                </w:p>
              </w:tc>
              <w:tc>
                <w:tcPr>
                  <w:tcW w:w="1368" w:type="dxa"/>
                  <w:vAlign w:val="center"/>
                </w:tcPr>
                <w:p w:rsidR="00FC46AF" w:rsidRPr="00921D8C" w:rsidRDefault="00694929" w:rsidP="00FC46AF">
                  <w:pPr>
                    <w:jc w:val="center"/>
                    <w:rPr>
                      <w:rFonts w:ascii="Verdana" w:hAnsi="Verdana"/>
                      <w:color w:val="808080"/>
                      <w:sz w:val="20"/>
                      <w:szCs w:val="20"/>
                    </w:rPr>
                  </w:pPr>
                  <w:r w:rsidRPr="00921D8C">
                    <w:rPr>
                      <w:rFonts w:ascii="Verdana" w:hAnsi="Verdana"/>
                      <w:color w:val="808080"/>
                      <w:sz w:val="20"/>
                      <w:szCs w:val="20"/>
                    </w:rPr>
                    <w:t>1.78%</w:t>
                  </w:r>
                </w:p>
              </w:tc>
            </w:tr>
          </w:tbl>
          <w:p w:rsidR="00245D8E" w:rsidRDefault="00694929" w:rsidP="005D4165">
            <w:pPr>
              <w:rPr>
                <w:rFonts w:ascii="Georgia" w:hAnsi="Georgia"/>
                <w:sz w:val="4"/>
              </w:rPr>
            </w:pPr>
            <w:r>
              <w:rPr>
                <w:rFonts w:ascii="Georgia" w:hAnsi="Georgia"/>
                <w:sz w:val="4"/>
              </w:rPr>
              <w:t xml:space="preserve">  </w:t>
            </w:r>
          </w:p>
          <w:p w:rsidR="00245D8E" w:rsidRPr="003D5040" w:rsidRDefault="00694929" w:rsidP="005D4165">
            <w:pPr>
              <w:jc w:val="center"/>
              <w:rPr>
                <w:rFonts w:ascii="Verdana" w:hAnsi="Verdana"/>
                <w:color w:val="808080" w:themeColor="background1" w:themeShade="80"/>
                <w:sz w:val="14"/>
              </w:rPr>
            </w:pPr>
            <w:r w:rsidRPr="000E3AD9">
              <w:rPr>
                <w:rFonts w:ascii="Georgia" w:hAnsi="Georgia"/>
                <w:color w:val="808080" w:themeColor="background1" w:themeShade="80"/>
                <w:sz w:val="4"/>
              </w:rPr>
              <w:br/>
            </w:r>
            <w:r w:rsidRPr="003D5040">
              <w:rPr>
                <w:rFonts w:ascii="Verdana" w:hAnsi="Verdana"/>
                <w:color w:val="808080" w:themeColor="background1" w:themeShade="80"/>
                <w:sz w:val="14"/>
              </w:rPr>
              <w:t xml:space="preserve">Sources: </w:t>
            </w:r>
            <w:r w:rsidRPr="003D5040">
              <w:rPr>
                <w:rFonts w:ascii="Verdana" w:hAnsi="Verdana"/>
                <w:color w:val="808080" w:themeColor="background1" w:themeShade="80"/>
                <w:sz w:val="14"/>
              </w:rPr>
              <w:t>finance</w:t>
            </w:r>
            <w:r w:rsidRPr="003D5040">
              <w:rPr>
                <w:rFonts w:ascii="Verdana" w:hAnsi="Verdana"/>
                <w:color w:val="808080" w:themeColor="background1" w:themeShade="80"/>
                <w:sz w:val="14"/>
              </w:rPr>
              <w:t>.</w:t>
            </w:r>
            <w:r w:rsidRPr="003D5040">
              <w:rPr>
                <w:rFonts w:ascii="Verdana" w:hAnsi="Verdana"/>
                <w:color w:val="808080" w:themeColor="background1" w:themeShade="80"/>
                <w:sz w:val="14"/>
              </w:rPr>
              <w:t>google.</w:t>
            </w:r>
            <w:r w:rsidRPr="003D5040">
              <w:rPr>
                <w:rFonts w:ascii="Verdana" w:hAnsi="Verdana"/>
                <w:color w:val="808080" w:themeColor="background1" w:themeShade="80"/>
                <w:sz w:val="14"/>
              </w:rPr>
              <w:t xml:space="preserve">com, </w:t>
            </w:r>
            <w:r>
              <w:rPr>
                <w:rFonts w:ascii="Verdana" w:hAnsi="Verdana"/>
                <w:color w:val="808080" w:themeColor="background1" w:themeShade="80"/>
                <w:sz w:val="14"/>
              </w:rPr>
              <w:t xml:space="preserve">wsj.com, </w:t>
            </w:r>
            <w:r w:rsidRPr="003D5040">
              <w:rPr>
                <w:rFonts w:ascii="Verdana" w:hAnsi="Verdana"/>
                <w:color w:val="808080" w:themeColor="background1" w:themeShade="80"/>
                <w:sz w:val="14"/>
              </w:rPr>
              <w:t xml:space="preserve">bigcharts.com, treasury.gov – </w:t>
            </w:r>
            <w:r>
              <w:rPr>
                <w:rFonts w:ascii="Verdana" w:hAnsi="Verdana"/>
                <w:color w:val="808080" w:themeColor="background1" w:themeShade="80"/>
                <w:sz w:val="14"/>
              </w:rPr>
              <w:t>12/29</w:t>
            </w:r>
            <w:r w:rsidRPr="003D5040">
              <w:rPr>
                <w:rFonts w:ascii="Verdana" w:hAnsi="Verdana"/>
                <w:color w:val="808080" w:themeColor="background1" w:themeShade="80"/>
                <w:sz w:val="14"/>
              </w:rPr>
              <w:t>/</w:t>
            </w:r>
            <w:r w:rsidRPr="00AF1B3B">
              <w:rPr>
                <w:rFonts w:ascii="Verdana" w:hAnsi="Verdana"/>
                <w:color w:val="808080" w:themeColor="background1" w:themeShade="80"/>
                <w:sz w:val="14"/>
              </w:rPr>
              <w:t>17</w:t>
            </w:r>
            <w:r w:rsidRPr="00AF1B3B">
              <w:rPr>
                <w:rFonts w:ascii="Verdana" w:hAnsi="Verdana"/>
                <w:color w:val="808080" w:themeColor="background1" w:themeShade="80"/>
                <w:sz w:val="14"/>
                <w:vertAlign w:val="superscript"/>
              </w:rPr>
              <w:t>21,22,23</w:t>
            </w:r>
            <w:r w:rsidRPr="00AF1B3B">
              <w:rPr>
                <w:rFonts w:ascii="Verdana" w:hAnsi="Verdana"/>
                <w:color w:val="808080" w:themeColor="background1" w:themeShade="80"/>
                <w:sz w:val="14"/>
                <w:vertAlign w:val="superscript"/>
              </w:rPr>
              <w:t>,24</w:t>
            </w:r>
          </w:p>
          <w:p w:rsidR="00245D8E" w:rsidRPr="00F00F6A" w:rsidRDefault="00694929" w:rsidP="005D4165">
            <w:pPr>
              <w:jc w:val="center"/>
              <w:rPr>
                <w:rFonts w:ascii="Verdana" w:hAnsi="Verdana" w:cs="Verdana"/>
                <w:iCs/>
                <w:color w:val="808080"/>
                <w:spacing w:val="-4"/>
                <w:sz w:val="14"/>
                <w:szCs w:val="14"/>
              </w:rPr>
            </w:pPr>
            <w:r w:rsidRPr="003D5040">
              <w:rPr>
                <w:rFonts w:ascii="Verdana" w:hAnsi="Verdana" w:cs="Verdana"/>
                <w:iCs/>
                <w:color w:val="808080" w:themeColor="background1" w:themeShade="80"/>
                <w:spacing w:val="-4"/>
                <w:sz w:val="14"/>
                <w:szCs w:val="14"/>
              </w:rPr>
              <w:t>Indices are unmanaged, do not incur fees or expenses</w:t>
            </w:r>
            <w:r w:rsidRPr="00372D21">
              <w:rPr>
                <w:rFonts w:ascii="Verdana" w:hAnsi="Verdana" w:cs="Verdana"/>
                <w:iCs/>
                <w:color w:val="808080"/>
                <w:spacing w:val="-4"/>
                <w:sz w:val="14"/>
                <w:szCs w:val="14"/>
              </w:rPr>
              <w:t xml:space="preserve">, and cannot be invested into directly. These </w:t>
            </w:r>
            <w:r w:rsidRPr="00372D21">
              <w:rPr>
                <w:rFonts w:ascii="Verdana" w:hAnsi="Verdana" w:cs="Verdana"/>
                <w:iCs/>
                <w:color w:val="808080"/>
                <w:spacing w:val="-4"/>
                <w:sz w:val="14"/>
                <w:szCs w:val="14"/>
              </w:rPr>
              <w:t>returns do not include dividends. 10-year TIPS real yield = projected return at maturity given expected inflation.</w:t>
            </w:r>
          </w:p>
          <w:p w:rsidR="00245D8E" w:rsidRPr="001A2C3E" w:rsidRDefault="00694929" w:rsidP="005D4165">
            <w:pPr>
              <w:rPr>
                <w:rFonts w:ascii="Georgia" w:hAnsi="Georgia"/>
                <w:sz w:val="20"/>
              </w:rPr>
            </w:pPr>
            <w:r w:rsidRPr="00C51022">
              <w:rPr>
                <w:rFonts w:ascii="Georgia" w:hAnsi="Georgia"/>
                <w:sz w:val="20"/>
              </w:rPr>
              <w:t xml:space="preserve"> </w:t>
            </w:r>
            <w:r>
              <w:rPr>
                <w:rFonts w:ascii="Georgia" w:hAnsi="Georgia"/>
                <w:sz w:val="20"/>
              </w:rPr>
              <w:t xml:space="preserve"> </w:t>
            </w:r>
            <w:r w:rsidRPr="00C51022">
              <w:rPr>
                <w:rFonts w:ascii="Georgia" w:hAnsi="Georgia"/>
                <w:sz w:val="20"/>
              </w:rPr>
              <w:t xml:space="preserve">        </w:t>
            </w:r>
          </w:p>
          <w:p w:rsidR="00245D8E" w:rsidRPr="008B4F9C" w:rsidRDefault="00694929" w:rsidP="005D4165">
            <w:pPr>
              <w:rPr>
                <w:rFonts w:ascii="Georgia" w:hAnsi="Georgia"/>
                <w:color w:val="002060"/>
                <w:sz w:val="20"/>
              </w:rPr>
            </w:pPr>
            <w:r w:rsidRPr="001A2C3E">
              <w:rPr>
                <w:rFonts w:ascii="Georgia" w:hAnsi="Georgia"/>
                <w:sz w:val="20"/>
              </w:rPr>
              <w:t xml:space="preserve">In hindsight, we look back at 2017 and see a year that surpassed expectations. </w:t>
            </w:r>
            <w:r>
              <w:rPr>
                <w:rFonts w:ascii="Georgia" w:hAnsi="Georgia"/>
                <w:sz w:val="20"/>
              </w:rPr>
              <w:t>You could say the stars aligned</w:t>
            </w:r>
            <w:r w:rsidRPr="001A2C3E">
              <w:rPr>
                <w:rFonts w:ascii="Georgia" w:hAnsi="Georgia"/>
                <w:sz w:val="20"/>
              </w:rPr>
              <w:t xml:space="preserve"> for </w:t>
            </w:r>
            <w:r>
              <w:rPr>
                <w:rFonts w:ascii="Georgia" w:hAnsi="Georgia"/>
                <w:sz w:val="20"/>
              </w:rPr>
              <w:t>Wall Street</w:t>
            </w:r>
            <w:r w:rsidRPr="00DC3992">
              <w:rPr>
                <w:rFonts w:ascii="Georgia" w:hAnsi="Georgia"/>
                <w:sz w:val="20"/>
              </w:rPr>
              <w:t>: no</w:t>
            </w:r>
            <w:r w:rsidRPr="00DC3992">
              <w:rPr>
                <w:rFonts w:ascii="Georgia" w:hAnsi="Georgia"/>
                <w:sz w:val="20"/>
              </w:rPr>
              <w:t xml:space="preserve"> news events truly </w:t>
            </w:r>
            <w:r>
              <w:rPr>
                <w:rFonts w:ascii="Georgia" w:hAnsi="Georgia"/>
                <w:sz w:val="20"/>
              </w:rPr>
              <w:t>disrupted the markets</w:t>
            </w:r>
            <w:r w:rsidRPr="00DC3992">
              <w:rPr>
                <w:rFonts w:ascii="Georgia" w:hAnsi="Georgia"/>
                <w:sz w:val="20"/>
              </w:rPr>
              <w:t xml:space="preserve">, </w:t>
            </w:r>
            <w:r w:rsidRPr="00DC3992">
              <w:rPr>
                <w:rFonts w:ascii="Georgia" w:hAnsi="Georgia"/>
                <w:sz w:val="20"/>
              </w:rPr>
              <w:t xml:space="preserve">inflation </w:t>
            </w:r>
            <w:r w:rsidRPr="00DC3992">
              <w:rPr>
                <w:rFonts w:ascii="Georgia" w:hAnsi="Georgia"/>
                <w:sz w:val="20"/>
              </w:rPr>
              <w:t>remained</w:t>
            </w:r>
            <w:r w:rsidRPr="00DC3992">
              <w:rPr>
                <w:rFonts w:ascii="Georgia" w:hAnsi="Georgia"/>
                <w:sz w:val="20"/>
              </w:rPr>
              <w:t xml:space="preserve"> tame, the dollar weakened, and the economic recovery gained</w:t>
            </w:r>
            <w:r>
              <w:rPr>
                <w:rFonts w:ascii="Georgia" w:hAnsi="Georgia"/>
                <w:sz w:val="20"/>
              </w:rPr>
              <w:t xml:space="preserve"> further</w:t>
            </w:r>
            <w:r w:rsidRPr="00DC3992">
              <w:rPr>
                <w:rFonts w:ascii="Georgia" w:hAnsi="Georgia"/>
                <w:sz w:val="20"/>
              </w:rPr>
              <w:t xml:space="preserve"> momentum</w:t>
            </w:r>
            <w:r w:rsidRPr="00DC3992">
              <w:rPr>
                <w:rFonts w:ascii="Georgia" w:hAnsi="Georgia"/>
                <w:sz w:val="20"/>
              </w:rPr>
              <w:t>.</w:t>
            </w:r>
            <w:r w:rsidRPr="00DC3992">
              <w:rPr>
                <w:rFonts w:ascii="Georgia" w:hAnsi="Georgia"/>
                <w:sz w:val="20"/>
              </w:rPr>
              <w:t xml:space="preserve"> Will 2018</w:t>
            </w:r>
            <w:r>
              <w:rPr>
                <w:rFonts w:ascii="Georgia" w:hAnsi="Georgia"/>
                <w:sz w:val="20"/>
              </w:rPr>
              <w:t xml:space="preserve"> be as </w:t>
            </w:r>
            <w:r w:rsidRPr="00347D4F">
              <w:rPr>
                <w:rFonts w:ascii="Georgia" w:hAnsi="Georgia"/>
                <w:sz w:val="20"/>
              </w:rPr>
              <w:t>great</w:t>
            </w:r>
            <w:r w:rsidRPr="00347D4F">
              <w:rPr>
                <w:rFonts w:ascii="Georgia" w:hAnsi="Georgia"/>
                <w:sz w:val="20"/>
              </w:rPr>
              <w:t xml:space="preserve"> as 2017 was</w:t>
            </w:r>
            <w:r w:rsidRPr="00347D4F">
              <w:rPr>
                <w:rFonts w:ascii="Georgia" w:hAnsi="Georgia"/>
                <w:sz w:val="20"/>
              </w:rPr>
              <w:t xml:space="preserve">? </w:t>
            </w:r>
            <w:r w:rsidRPr="00347D4F">
              <w:rPr>
                <w:rFonts w:ascii="Georgia" w:hAnsi="Georgia"/>
                <w:sz w:val="20"/>
              </w:rPr>
              <w:t xml:space="preserve">Probably not, in the view </w:t>
            </w:r>
            <w:r w:rsidRPr="00347D4F">
              <w:rPr>
                <w:rFonts w:ascii="Georgia" w:hAnsi="Georgia"/>
                <w:sz w:val="20"/>
              </w:rPr>
              <w:t xml:space="preserve">of </w:t>
            </w:r>
            <w:r w:rsidRPr="00347D4F">
              <w:rPr>
                <w:rFonts w:ascii="Georgia" w:hAnsi="Georgia"/>
                <w:sz w:val="20"/>
              </w:rPr>
              <w:t>analysts</w:t>
            </w:r>
            <w:r w:rsidRPr="00347D4F">
              <w:rPr>
                <w:rFonts w:ascii="Georgia" w:hAnsi="Georgia"/>
                <w:sz w:val="20"/>
              </w:rPr>
              <w:t xml:space="preserve">. </w:t>
            </w:r>
            <w:r w:rsidRPr="00347D4F">
              <w:rPr>
                <w:rFonts w:ascii="Georgia" w:hAnsi="Georgia"/>
                <w:sz w:val="20"/>
              </w:rPr>
              <w:t xml:space="preserve">Many are predicting </w:t>
            </w:r>
            <w:r>
              <w:rPr>
                <w:rFonts w:ascii="Georgia" w:hAnsi="Georgia"/>
                <w:sz w:val="20"/>
              </w:rPr>
              <w:t xml:space="preserve">just </w:t>
            </w:r>
            <w:r w:rsidRPr="00347D4F">
              <w:rPr>
                <w:rFonts w:ascii="Georgia" w:hAnsi="Georgia"/>
                <w:sz w:val="20"/>
              </w:rPr>
              <w:t xml:space="preserve">a single-digit </w:t>
            </w:r>
            <w:r w:rsidRPr="00347D4F">
              <w:rPr>
                <w:rFonts w:ascii="Georgia" w:hAnsi="Georgia"/>
                <w:sz w:val="20"/>
              </w:rPr>
              <w:t>advance for the S&amp;P 500 (</w:t>
            </w:r>
            <w:r w:rsidRPr="00347D4F">
              <w:rPr>
                <w:rFonts w:ascii="Georgia" w:hAnsi="Georgia"/>
                <w:i/>
                <w:sz w:val="20"/>
              </w:rPr>
              <w:t>Kiplinger’s Personal Finance,</w:t>
            </w:r>
            <w:r w:rsidRPr="00347D4F">
              <w:rPr>
                <w:rFonts w:ascii="Georgia" w:hAnsi="Georgia"/>
                <w:sz w:val="20"/>
              </w:rPr>
              <w:t xml:space="preserve"> to cite but one forecast, projects a </w:t>
            </w:r>
            <w:r w:rsidRPr="00347D4F">
              <w:rPr>
                <w:rFonts w:ascii="Georgia" w:hAnsi="Georgia"/>
                <w:sz w:val="20"/>
              </w:rPr>
              <w:t xml:space="preserve">2018 </w:t>
            </w:r>
            <w:r w:rsidRPr="00347D4F">
              <w:rPr>
                <w:rFonts w:ascii="Georgia" w:hAnsi="Georgia"/>
                <w:sz w:val="20"/>
              </w:rPr>
              <w:t xml:space="preserve">total return of </w:t>
            </w:r>
            <w:r w:rsidRPr="00347D4F">
              <w:rPr>
                <w:rFonts w:ascii="Georgia" w:hAnsi="Georgia"/>
                <w:sz w:val="20"/>
              </w:rPr>
              <w:t>just</w:t>
            </w:r>
            <w:r w:rsidRPr="00347D4F">
              <w:rPr>
                <w:rFonts w:ascii="Georgia" w:hAnsi="Georgia"/>
                <w:sz w:val="20"/>
              </w:rPr>
              <w:t xml:space="preserve"> 8% for the benchmark). While fundamental economic indicators are strong, Fed </w:t>
            </w:r>
            <w:r w:rsidRPr="00347D4F">
              <w:rPr>
                <w:rFonts w:ascii="Georgia" w:hAnsi="Georgia"/>
                <w:sz w:val="20"/>
              </w:rPr>
              <w:t xml:space="preserve">policymakers </w:t>
            </w:r>
            <w:r w:rsidRPr="00347D4F">
              <w:rPr>
                <w:rFonts w:ascii="Georgia" w:hAnsi="Georgia"/>
                <w:sz w:val="20"/>
              </w:rPr>
              <w:t>could tighten faster if wage growth and inflatio</w:t>
            </w:r>
            <w:r w:rsidRPr="00347D4F">
              <w:rPr>
                <w:rFonts w:ascii="Georgia" w:hAnsi="Georgia"/>
                <w:sz w:val="20"/>
              </w:rPr>
              <w:t>n accelerate. The Fed is continuing to thin its balance sheet, and the European Central Bank seems poised to end its long-running stimulus</w:t>
            </w:r>
            <w:r w:rsidRPr="00347D4F">
              <w:rPr>
                <w:rFonts w:ascii="Georgia" w:hAnsi="Georgia"/>
                <w:sz w:val="20"/>
              </w:rPr>
              <w:t xml:space="preserve">. </w:t>
            </w:r>
            <w:r w:rsidRPr="00347D4F">
              <w:rPr>
                <w:rFonts w:ascii="Georgia" w:hAnsi="Georgia"/>
                <w:sz w:val="20"/>
              </w:rPr>
              <w:t xml:space="preserve">The last S&amp;P 500 correction, a 14% drop, occurred in early 2016; </w:t>
            </w:r>
            <w:r w:rsidRPr="00347D4F">
              <w:rPr>
                <w:rFonts w:ascii="Georgia" w:hAnsi="Georgia"/>
                <w:sz w:val="20"/>
              </w:rPr>
              <w:t>the index</w:t>
            </w:r>
            <w:r w:rsidRPr="00347D4F">
              <w:rPr>
                <w:rFonts w:ascii="Georgia" w:hAnsi="Georgia"/>
                <w:sz w:val="20"/>
              </w:rPr>
              <w:t xml:space="preserve"> is </w:t>
            </w:r>
            <w:r>
              <w:rPr>
                <w:rFonts w:ascii="Georgia" w:hAnsi="Georgia"/>
                <w:sz w:val="20"/>
              </w:rPr>
              <w:t>long</w:t>
            </w:r>
            <w:r w:rsidRPr="00347D4F">
              <w:rPr>
                <w:rFonts w:ascii="Georgia" w:hAnsi="Georgia"/>
                <w:sz w:val="20"/>
              </w:rPr>
              <w:t xml:space="preserve"> overdue for another.</w:t>
            </w:r>
            <w:r w:rsidRPr="00347D4F">
              <w:rPr>
                <w:rFonts w:ascii="Georgia" w:hAnsi="Georgia"/>
                <w:sz w:val="20"/>
              </w:rPr>
              <w:t xml:space="preserve"> If the bull </w:t>
            </w:r>
            <w:r w:rsidRPr="00347D4F">
              <w:rPr>
                <w:rFonts w:ascii="Georgia" w:hAnsi="Georgia"/>
                <w:sz w:val="20"/>
              </w:rPr>
              <w:t xml:space="preserve">market lasts into September, it will be the </w:t>
            </w:r>
            <w:r w:rsidRPr="00120885">
              <w:rPr>
                <w:rFonts w:ascii="Georgia" w:hAnsi="Georgia"/>
                <w:sz w:val="20"/>
              </w:rPr>
              <w:t>longest ever witnessed.</w:t>
            </w:r>
            <w:r w:rsidRPr="00120885">
              <w:rPr>
                <w:rFonts w:ascii="Georgia" w:hAnsi="Georgia"/>
                <w:sz w:val="20"/>
              </w:rPr>
              <w:t xml:space="preserve"> </w:t>
            </w:r>
            <w:r w:rsidRPr="00120885">
              <w:rPr>
                <w:rFonts w:ascii="Georgia" w:hAnsi="Georgia"/>
                <w:sz w:val="20"/>
              </w:rPr>
              <w:t>S</w:t>
            </w:r>
            <w:r w:rsidRPr="00120885">
              <w:rPr>
                <w:rFonts w:ascii="Georgia" w:hAnsi="Georgia"/>
                <w:sz w:val="20"/>
              </w:rPr>
              <w:t>ome strong headwinds</w:t>
            </w:r>
            <w:r w:rsidRPr="00120885">
              <w:rPr>
                <w:rFonts w:ascii="Georgia" w:hAnsi="Georgia"/>
                <w:sz w:val="20"/>
              </w:rPr>
              <w:t xml:space="preserve"> could </w:t>
            </w:r>
            <w:r w:rsidRPr="00120885">
              <w:rPr>
                <w:rFonts w:ascii="Georgia" w:hAnsi="Georgia"/>
                <w:sz w:val="20"/>
              </w:rPr>
              <w:lastRenderedPageBreak/>
              <w:t>arise in 2018; p</w:t>
            </w:r>
            <w:r w:rsidRPr="00120885">
              <w:rPr>
                <w:rFonts w:ascii="Georgia" w:hAnsi="Georgia"/>
                <w:sz w:val="20"/>
              </w:rPr>
              <w:t>repare for some turbulence, which will arrive at some point, and be glad for the sizable stock gains of 2017.</w:t>
            </w:r>
            <w:r w:rsidRPr="00120885">
              <w:rPr>
                <w:rFonts w:ascii="Georgia" w:hAnsi="Georgia"/>
                <w:sz w:val="20"/>
                <w:vertAlign w:val="superscript"/>
              </w:rPr>
              <w:t>25</w:t>
            </w:r>
          </w:p>
          <w:p w:rsidR="00245D8E" w:rsidRPr="00835D68" w:rsidRDefault="00694929" w:rsidP="005D4165">
            <w:pPr>
              <w:rPr>
                <w:rFonts w:ascii="Georgia" w:hAnsi="Georgia"/>
                <w:sz w:val="20"/>
              </w:rPr>
            </w:pPr>
            <w:r w:rsidRPr="00835D68">
              <w:rPr>
                <w:rFonts w:ascii="Georgia" w:hAnsi="Georgia"/>
                <w:sz w:val="20"/>
              </w:rPr>
              <w:t xml:space="preserve">      </w:t>
            </w:r>
          </w:p>
          <w:p w:rsidR="00245D8E" w:rsidRPr="008B4F9C" w:rsidRDefault="00694929" w:rsidP="005D4165">
            <w:pPr>
              <w:rPr>
                <w:rFonts w:ascii="Georgia" w:hAnsi="Georgia"/>
                <w:color w:val="002060"/>
                <w:sz w:val="20"/>
              </w:rPr>
            </w:pPr>
            <w:r w:rsidRPr="00E31739">
              <w:rPr>
                <w:rFonts w:ascii="Georgia" w:hAnsi="Georgia"/>
                <w:b/>
                <w:sz w:val="20"/>
              </w:rPr>
              <w:t xml:space="preserve">UPCOMING </w:t>
            </w:r>
            <w:r w:rsidRPr="00C102A2">
              <w:rPr>
                <w:rFonts w:ascii="Georgia" w:hAnsi="Georgia"/>
                <w:b/>
                <w:sz w:val="20"/>
              </w:rPr>
              <w:t xml:space="preserve">ECONOMIC </w:t>
            </w:r>
            <w:r w:rsidRPr="00C102A2">
              <w:rPr>
                <w:rFonts w:ascii="Georgia" w:hAnsi="Georgia"/>
                <w:b/>
                <w:sz w:val="20"/>
              </w:rPr>
              <w:t>RELEASES:</w:t>
            </w:r>
            <w:r w:rsidRPr="00905E86">
              <w:rPr>
                <w:rFonts w:ascii="Georgia" w:hAnsi="Georgia"/>
                <w:color w:val="808080"/>
                <w:sz w:val="20"/>
              </w:rPr>
              <w:t xml:space="preserve"> </w:t>
            </w:r>
            <w:r w:rsidRPr="00C504BF">
              <w:rPr>
                <w:rFonts w:ascii="Georgia" w:hAnsi="Georgia"/>
                <w:color w:val="808080" w:themeColor="background1" w:themeShade="80"/>
                <w:sz w:val="20"/>
              </w:rPr>
              <w:t xml:space="preserve">Across the rest of January, investors will pay attention to these </w:t>
            </w:r>
            <w:r>
              <w:rPr>
                <w:rFonts w:ascii="Georgia" w:hAnsi="Georgia"/>
                <w:color w:val="808080" w:themeColor="background1" w:themeShade="80"/>
                <w:sz w:val="20"/>
              </w:rPr>
              <w:t>news items:</w:t>
            </w:r>
            <w:r w:rsidRPr="008651F0">
              <w:rPr>
                <w:rFonts w:ascii="Georgia" w:hAnsi="Georgia"/>
                <w:color w:val="808080" w:themeColor="background1" w:themeShade="80"/>
                <w:sz w:val="20"/>
              </w:rPr>
              <w:t xml:space="preserve"> </w:t>
            </w:r>
            <w:r w:rsidRPr="008651F0">
              <w:rPr>
                <w:rFonts w:ascii="Georgia" w:hAnsi="Georgia"/>
                <w:color w:val="808080" w:themeColor="background1" w:themeShade="80"/>
                <w:sz w:val="20"/>
              </w:rPr>
              <w:t>December</w:t>
            </w:r>
            <w:r>
              <w:rPr>
                <w:rFonts w:ascii="Georgia" w:hAnsi="Georgia"/>
                <w:color w:val="808080" w:themeColor="background1" w:themeShade="80"/>
                <w:sz w:val="20"/>
              </w:rPr>
              <w:t>’s</w:t>
            </w:r>
            <w:r w:rsidRPr="008651F0">
              <w:rPr>
                <w:rFonts w:ascii="Georgia" w:hAnsi="Georgia"/>
                <w:color w:val="808080" w:themeColor="background1" w:themeShade="80"/>
                <w:sz w:val="20"/>
              </w:rPr>
              <w:t xml:space="preserve"> ADP payrolls report and Challenger job-cut report (1</w:t>
            </w:r>
            <w:r w:rsidRPr="008651F0">
              <w:rPr>
                <w:rFonts w:ascii="Georgia" w:hAnsi="Georgia"/>
                <w:color w:val="808080" w:themeColor="background1" w:themeShade="80"/>
                <w:sz w:val="20"/>
              </w:rPr>
              <w:t xml:space="preserve">/4), </w:t>
            </w:r>
            <w:r w:rsidRPr="008651F0">
              <w:rPr>
                <w:rFonts w:ascii="Georgia" w:hAnsi="Georgia"/>
                <w:color w:val="808080" w:themeColor="background1" w:themeShade="80"/>
                <w:sz w:val="20"/>
              </w:rPr>
              <w:t xml:space="preserve">the </w:t>
            </w:r>
            <w:r>
              <w:rPr>
                <w:rFonts w:ascii="Georgia" w:hAnsi="Georgia"/>
                <w:color w:val="808080" w:themeColor="background1" w:themeShade="80"/>
                <w:sz w:val="20"/>
              </w:rPr>
              <w:t>latest</w:t>
            </w:r>
            <w:r w:rsidRPr="008651F0">
              <w:rPr>
                <w:rFonts w:ascii="Georgia" w:hAnsi="Georgia"/>
                <w:color w:val="808080" w:themeColor="background1" w:themeShade="80"/>
                <w:sz w:val="20"/>
              </w:rPr>
              <w:t xml:space="preserve"> employment snapshot from the Department of Labor and </w:t>
            </w:r>
            <w:r>
              <w:rPr>
                <w:rFonts w:ascii="Georgia" w:hAnsi="Georgia"/>
                <w:color w:val="808080" w:themeColor="background1" w:themeShade="80"/>
                <w:sz w:val="20"/>
              </w:rPr>
              <w:t>a new</w:t>
            </w:r>
            <w:r w:rsidRPr="008651F0">
              <w:rPr>
                <w:rFonts w:ascii="Georgia" w:hAnsi="Georgia"/>
                <w:color w:val="808080" w:themeColor="background1" w:themeShade="80"/>
                <w:sz w:val="20"/>
              </w:rPr>
              <w:t xml:space="preserve"> ISM service sector PMI (1</w:t>
            </w:r>
            <w:r w:rsidRPr="008651F0">
              <w:rPr>
                <w:rFonts w:ascii="Georgia" w:hAnsi="Georgia"/>
                <w:color w:val="808080" w:themeColor="background1" w:themeShade="80"/>
                <w:sz w:val="20"/>
              </w:rPr>
              <w:t xml:space="preserve">/5), </w:t>
            </w:r>
            <w:r w:rsidRPr="008651F0">
              <w:rPr>
                <w:rFonts w:ascii="Georgia" w:hAnsi="Georgia"/>
                <w:color w:val="808080" w:themeColor="background1" w:themeShade="80"/>
                <w:sz w:val="20"/>
              </w:rPr>
              <w:t xml:space="preserve">the latest </w:t>
            </w:r>
            <w:r w:rsidRPr="008651F0">
              <w:rPr>
                <w:rFonts w:ascii="Georgia" w:hAnsi="Georgia"/>
                <w:color w:val="808080" w:themeColor="background1" w:themeShade="80"/>
                <w:sz w:val="20"/>
              </w:rPr>
              <w:t>wholesale inflation reading (1/11),</w:t>
            </w:r>
            <w:r w:rsidRPr="008651F0">
              <w:rPr>
                <w:rFonts w:ascii="Georgia" w:hAnsi="Georgia"/>
                <w:color w:val="808080" w:themeColor="background1" w:themeShade="80"/>
                <w:sz w:val="20"/>
              </w:rPr>
              <w:t xml:space="preserve"> the </w:t>
            </w:r>
            <w:r w:rsidRPr="008651F0">
              <w:rPr>
                <w:rFonts w:ascii="Georgia" w:hAnsi="Georgia"/>
                <w:color w:val="808080" w:themeColor="background1" w:themeShade="80"/>
                <w:sz w:val="20"/>
              </w:rPr>
              <w:t xml:space="preserve">initial </w:t>
            </w:r>
            <w:r w:rsidRPr="008651F0">
              <w:rPr>
                <w:rFonts w:ascii="Georgia" w:hAnsi="Georgia"/>
                <w:color w:val="808080" w:themeColor="background1" w:themeShade="80"/>
                <w:sz w:val="20"/>
              </w:rPr>
              <w:t>January</w:t>
            </w:r>
            <w:r w:rsidRPr="008651F0">
              <w:rPr>
                <w:rFonts w:ascii="Georgia" w:hAnsi="Georgia"/>
                <w:color w:val="808080" w:themeColor="background1" w:themeShade="80"/>
                <w:sz w:val="20"/>
              </w:rPr>
              <w:t xml:space="preserve"> </w:t>
            </w:r>
            <w:r w:rsidRPr="008651F0">
              <w:rPr>
                <w:rFonts w:ascii="Georgia" w:hAnsi="Georgia"/>
                <w:color w:val="808080" w:themeColor="background1" w:themeShade="80"/>
                <w:sz w:val="20"/>
              </w:rPr>
              <w:t>University of Michigan consumer sentiment index</w:t>
            </w:r>
            <w:r w:rsidRPr="008651F0">
              <w:rPr>
                <w:rFonts w:ascii="Georgia" w:hAnsi="Georgia"/>
                <w:color w:val="808080" w:themeColor="background1" w:themeShade="80"/>
                <w:sz w:val="20"/>
              </w:rPr>
              <w:t>, the December CPI and December retail sales</w:t>
            </w:r>
            <w:r w:rsidRPr="008651F0">
              <w:rPr>
                <w:rFonts w:ascii="Georgia" w:hAnsi="Georgia"/>
                <w:color w:val="808080" w:themeColor="background1" w:themeShade="80"/>
                <w:sz w:val="20"/>
              </w:rPr>
              <w:t xml:space="preserve"> (1/</w:t>
            </w:r>
            <w:r w:rsidRPr="008651F0">
              <w:rPr>
                <w:rFonts w:ascii="Georgia" w:hAnsi="Georgia"/>
                <w:color w:val="808080" w:themeColor="background1" w:themeShade="80"/>
                <w:sz w:val="20"/>
              </w:rPr>
              <w:t>12</w:t>
            </w:r>
            <w:r w:rsidRPr="008651F0">
              <w:rPr>
                <w:rFonts w:ascii="Georgia" w:hAnsi="Georgia"/>
                <w:color w:val="808080" w:themeColor="background1" w:themeShade="80"/>
                <w:sz w:val="20"/>
              </w:rPr>
              <w:t xml:space="preserve">), </w:t>
            </w:r>
            <w:r w:rsidRPr="008651F0">
              <w:rPr>
                <w:rFonts w:ascii="Georgia" w:hAnsi="Georgia"/>
                <w:color w:val="808080" w:themeColor="background1" w:themeShade="80"/>
                <w:sz w:val="20"/>
              </w:rPr>
              <w:t>December</w:t>
            </w:r>
            <w:r w:rsidRPr="008651F0">
              <w:rPr>
                <w:rFonts w:ascii="Georgia" w:hAnsi="Georgia"/>
                <w:color w:val="808080" w:themeColor="background1" w:themeShade="80"/>
                <w:sz w:val="20"/>
              </w:rPr>
              <w:t xml:space="preserve"> </w:t>
            </w:r>
            <w:r w:rsidRPr="008651F0">
              <w:rPr>
                <w:rFonts w:ascii="Georgia" w:hAnsi="Georgia"/>
                <w:color w:val="808080" w:themeColor="background1" w:themeShade="80"/>
                <w:sz w:val="20"/>
              </w:rPr>
              <w:t>industrial production (1</w:t>
            </w:r>
            <w:r w:rsidRPr="008651F0">
              <w:rPr>
                <w:rFonts w:ascii="Georgia" w:hAnsi="Georgia"/>
                <w:color w:val="808080" w:themeColor="background1" w:themeShade="80"/>
                <w:sz w:val="20"/>
              </w:rPr>
              <w:t>/1</w:t>
            </w:r>
            <w:r w:rsidRPr="008651F0">
              <w:rPr>
                <w:rFonts w:ascii="Georgia" w:hAnsi="Georgia"/>
                <w:color w:val="808080" w:themeColor="background1" w:themeShade="80"/>
                <w:sz w:val="20"/>
              </w:rPr>
              <w:t>7</w:t>
            </w:r>
            <w:r w:rsidRPr="008651F0">
              <w:rPr>
                <w:rFonts w:ascii="Georgia" w:hAnsi="Georgia"/>
                <w:color w:val="808080" w:themeColor="background1" w:themeShade="80"/>
                <w:sz w:val="20"/>
              </w:rPr>
              <w:t xml:space="preserve">), </w:t>
            </w:r>
            <w:r w:rsidRPr="008651F0">
              <w:rPr>
                <w:rFonts w:ascii="Georgia" w:hAnsi="Georgia"/>
                <w:color w:val="808080" w:themeColor="background1" w:themeShade="80"/>
                <w:sz w:val="20"/>
              </w:rPr>
              <w:t>December</w:t>
            </w:r>
            <w:r w:rsidRPr="008651F0">
              <w:rPr>
                <w:rFonts w:ascii="Georgia" w:hAnsi="Georgia"/>
                <w:color w:val="808080" w:themeColor="background1" w:themeShade="80"/>
                <w:sz w:val="20"/>
              </w:rPr>
              <w:t xml:space="preserve"> housing</w:t>
            </w:r>
            <w:r w:rsidRPr="008651F0">
              <w:rPr>
                <w:rFonts w:ascii="Georgia" w:hAnsi="Georgia"/>
                <w:color w:val="808080" w:themeColor="background1" w:themeShade="80"/>
                <w:sz w:val="20"/>
              </w:rPr>
              <w:t xml:space="preserve"> starts and building permits (1/18</w:t>
            </w:r>
            <w:r w:rsidRPr="008651F0">
              <w:rPr>
                <w:rFonts w:ascii="Georgia" w:hAnsi="Georgia"/>
                <w:color w:val="808080" w:themeColor="background1" w:themeShade="80"/>
                <w:sz w:val="20"/>
              </w:rPr>
              <w:t xml:space="preserve">), </w:t>
            </w:r>
            <w:r w:rsidRPr="008651F0">
              <w:rPr>
                <w:rFonts w:ascii="Georgia" w:hAnsi="Georgia"/>
                <w:color w:val="808080" w:themeColor="background1" w:themeShade="80"/>
                <w:sz w:val="20"/>
              </w:rPr>
              <w:t>December</w:t>
            </w:r>
            <w:r w:rsidRPr="008651F0">
              <w:rPr>
                <w:rFonts w:ascii="Georgia" w:hAnsi="Georgia"/>
                <w:color w:val="808080" w:themeColor="background1" w:themeShade="80"/>
                <w:sz w:val="20"/>
              </w:rPr>
              <w:t xml:space="preserve"> existing home sales (1/2</w:t>
            </w:r>
            <w:r w:rsidRPr="008651F0">
              <w:rPr>
                <w:rFonts w:ascii="Georgia" w:hAnsi="Georgia"/>
                <w:color w:val="808080" w:themeColor="background1" w:themeShade="80"/>
                <w:sz w:val="20"/>
              </w:rPr>
              <w:t>4</w:t>
            </w:r>
            <w:r w:rsidRPr="008651F0">
              <w:rPr>
                <w:rFonts w:ascii="Georgia" w:hAnsi="Georgia"/>
                <w:color w:val="808080" w:themeColor="background1" w:themeShade="80"/>
                <w:sz w:val="20"/>
              </w:rPr>
              <w:t>),</w:t>
            </w:r>
            <w:r w:rsidRPr="008651F0">
              <w:rPr>
                <w:rFonts w:ascii="Georgia" w:hAnsi="Georgia"/>
                <w:color w:val="808080" w:themeColor="background1" w:themeShade="80"/>
                <w:sz w:val="20"/>
              </w:rPr>
              <w:t xml:space="preserve"> </w:t>
            </w:r>
            <w:r w:rsidRPr="008651F0">
              <w:rPr>
                <w:rFonts w:ascii="Georgia" w:hAnsi="Georgia"/>
                <w:color w:val="808080" w:themeColor="background1" w:themeShade="80"/>
                <w:sz w:val="20"/>
              </w:rPr>
              <w:t>December new home sales and the Conference Board</w:t>
            </w:r>
            <w:r>
              <w:rPr>
                <w:rFonts w:ascii="Georgia" w:hAnsi="Georgia"/>
                <w:color w:val="808080" w:themeColor="background1" w:themeShade="80"/>
                <w:sz w:val="20"/>
              </w:rPr>
              <w:t>’s latest</w:t>
            </w:r>
            <w:r w:rsidRPr="008651F0">
              <w:rPr>
                <w:rFonts w:ascii="Georgia" w:hAnsi="Georgia"/>
                <w:color w:val="808080" w:themeColor="background1" w:themeShade="80"/>
                <w:sz w:val="20"/>
              </w:rPr>
              <w:t xml:space="preserve"> leading indicator index</w:t>
            </w:r>
            <w:r w:rsidRPr="00827EE9">
              <w:rPr>
                <w:rFonts w:ascii="Georgia" w:hAnsi="Georgia"/>
                <w:color w:val="808080" w:themeColor="background1" w:themeShade="80"/>
                <w:sz w:val="20"/>
              </w:rPr>
              <w:t xml:space="preserve"> (1/25),</w:t>
            </w:r>
            <w:r w:rsidRPr="00827EE9">
              <w:rPr>
                <w:rFonts w:ascii="Georgia" w:hAnsi="Georgia"/>
                <w:color w:val="808080" w:themeColor="background1" w:themeShade="80"/>
                <w:sz w:val="20"/>
              </w:rPr>
              <w:t xml:space="preserve"> </w:t>
            </w:r>
            <w:r w:rsidRPr="00827EE9">
              <w:rPr>
                <w:rFonts w:ascii="Georgia" w:hAnsi="Georgia"/>
                <w:color w:val="808080" w:themeColor="background1" w:themeShade="80"/>
                <w:sz w:val="20"/>
              </w:rPr>
              <w:t xml:space="preserve">December hard goods orders, the month’s final University of Michigan consumer sentiment index reading, and the first </w:t>
            </w:r>
            <w:r w:rsidRPr="00827EE9">
              <w:rPr>
                <w:rFonts w:ascii="Georgia" w:hAnsi="Georgia"/>
                <w:color w:val="808080" w:themeColor="background1" w:themeShade="80"/>
                <w:sz w:val="20"/>
              </w:rPr>
              <w:t xml:space="preserve">estimate </w:t>
            </w:r>
            <w:r w:rsidRPr="00827EE9">
              <w:rPr>
                <w:rFonts w:ascii="Georgia" w:hAnsi="Georgia"/>
                <w:color w:val="808080" w:themeColor="background1" w:themeShade="80"/>
                <w:sz w:val="20"/>
              </w:rPr>
              <w:t>of Q</w:t>
            </w:r>
            <w:r w:rsidRPr="00827EE9">
              <w:rPr>
                <w:rFonts w:ascii="Georgia" w:hAnsi="Georgia"/>
                <w:color w:val="808080" w:themeColor="background1" w:themeShade="80"/>
                <w:sz w:val="20"/>
              </w:rPr>
              <w:t>4</w:t>
            </w:r>
            <w:r w:rsidRPr="00827EE9">
              <w:rPr>
                <w:rFonts w:ascii="Georgia" w:hAnsi="Georgia"/>
                <w:color w:val="808080" w:themeColor="background1" w:themeShade="80"/>
                <w:sz w:val="20"/>
              </w:rPr>
              <w:t xml:space="preserve"> </w:t>
            </w:r>
            <w:r w:rsidRPr="00827EE9">
              <w:rPr>
                <w:rFonts w:ascii="Georgia" w:hAnsi="Georgia"/>
                <w:color w:val="808080" w:themeColor="background1" w:themeShade="80"/>
                <w:sz w:val="20"/>
              </w:rPr>
              <w:t>economic growth (1</w:t>
            </w:r>
            <w:r w:rsidRPr="00827EE9">
              <w:rPr>
                <w:rFonts w:ascii="Georgia" w:hAnsi="Georgia"/>
                <w:color w:val="808080" w:themeColor="background1" w:themeShade="80"/>
                <w:sz w:val="20"/>
              </w:rPr>
              <w:t>/2</w:t>
            </w:r>
            <w:r w:rsidRPr="00827EE9">
              <w:rPr>
                <w:rFonts w:ascii="Georgia" w:hAnsi="Georgia"/>
                <w:color w:val="808080" w:themeColor="background1" w:themeShade="80"/>
                <w:sz w:val="20"/>
              </w:rPr>
              <w:t>6</w:t>
            </w:r>
            <w:r w:rsidRPr="00827EE9">
              <w:rPr>
                <w:rFonts w:ascii="Georgia" w:hAnsi="Georgia"/>
                <w:color w:val="808080" w:themeColor="background1" w:themeShade="80"/>
                <w:sz w:val="20"/>
              </w:rPr>
              <w:t>),</w:t>
            </w:r>
            <w:r w:rsidRPr="00827EE9">
              <w:rPr>
                <w:rFonts w:ascii="Georgia" w:hAnsi="Georgia"/>
                <w:color w:val="808080" w:themeColor="background1" w:themeShade="80"/>
                <w:sz w:val="20"/>
              </w:rPr>
              <w:t xml:space="preserve"> </w:t>
            </w:r>
            <w:r w:rsidRPr="00827EE9">
              <w:rPr>
                <w:rFonts w:ascii="Georgia" w:hAnsi="Georgia"/>
                <w:color w:val="808080" w:themeColor="background1" w:themeShade="80"/>
                <w:sz w:val="20"/>
              </w:rPr>
              <w:t>the December PCE price index and December</w:t>
            </w:r>
            <w:r w:rsidRPr="00827EE9">
              <w:rPr>
                <w:rFonts w:ascii="Georgia" w:hAnsi="Georgia"/>
                <w:color w:val="808080" w:themeColor="background1" w:themeShade="80"/>
                <w:sz w:val="20"/>
              </w:rPr>
              <w:t xml:space="preserve"> </w:t>
            </w:r>
            <w:r w:rsidRPr="00827EE9">
              <w:rPr>
                <w:rFonts w:ascii="Georgia" w:hAnsi="Georgia"/>
                <w:color w:val="808080" w:themeColor="background1" w:themeShade="80"/>
                <w:sz w:val="20"/>
              </w:rPr>
              <w:t xml:space="preserve">personal </w:t>
            </w:r>
            <w:r w:rsidRPr="00827EE9">
              <w:rPr>
                <w:rFonts w:ascii="Georgia" w:hAnsi="Georgia"/>
                <w:color w:val="808080" w:themeColor="background1" w:themeShade="80"/>
                <w:sz w:val="20"/>
              </w:rPr>
              <w:t xml:space="preserve">spending </w:t>
            </w:r>
            <w:r w:rsidRPr="00827EE9">
              <w:rPr>
                <w:rFonts w:ascii="Georgia" w:hAnsi="Georgia"/>
                <w:color w:val="808080" w:themeColor="background1" w:themeShade="80"/>
                <w:sz w:val="20"/>
              </w:rPr>
              <w:t>(1</w:t>
            </w:r>
            <w:r w:rsidRPr="00827EE9">
              <w:rPr>
                <w:rFonts w:ascii="Georgia" w:hAnsi="Georgia"/>
                <w:color w:val="808080" w:themeColor="background1" w:themeShade="80"/>
                <w:sz w:val="20"/>
              </w:rPr>
              <w:t>/29</w:t>
            </w:r>
            <w:r w:rsidRPr="00827EE9">
              <w:rPr>
                <w:rFonts w:ascii="Georgia" w:hAnsi="Georgia"/>
                <w:color w:val="808080" w:themeColor="background1" w:themeShade="80"/>
                <w:sz w:val="20"/>
              </w:rPr>
              <w:t xml:space="preserve">), </w:t>
            </w:r>
            <w:r w:rsidRPr="00827EE9">
              <w:rPr>
                <w:rFonts w:ascii="Georgia" w:hAnsi="Georgia"/>
                <w:color w:val="808080" w:themeColor="background1" w:themeShade="80"/>
                <w:sz w:val="20"/>
              </w:rPr>
              <w:t xml:space="preserve">the Conference Board’s January consumer confidence index (1/30), </w:t>
            </w:r>
            <w:r w:rsidRPr="00827EE9">
              <w:rPr>
                <w:rFonts w:ascii="Georgia" w:hAnsi="Georgia"/>
                <w:color w:val="808080" w:themeColor="background1" w:themeShade="80"/>
                <w:sz w:val="20"/>
              </w:rPr>
              <w:t xml:space="preserve">and </w:t>
            </w:r>
            <w:r w:rsidRPr="00827EE9">
              <w:rPr>
                <w:rFonts w:ascii="Georgia" w:hAnsi="Georgia"/>
                <w:color w:val="808080" w:themeColor="background1" w:themeShade="80"/>
                <w:sz w:val="20"/>
              </w:rPr>
              <w:t>lastly,</w:t>
            </w:r>
            <w:r w:rsidRPr="00827EE9">
              <w:rPr>
                <w:rFonts w:ascii="Georgia" w:hAnsi="Georgia"/>
                <w:color w:val="808080" w:themeColor="background1" w:themeShade="80"/>
                <w:sz w:val="20"/>
              </w:rPr>
              <w:t xml:space="preserve"> </w:t>
            </w:r>
            <w:r w:rsidRPr="00827EE9">
              <w:rPr>
                <w:rFonts w:ascii="Georgia" w:hAnsi="Georgia"/>
                <w:color w:val="808080" w:themeColor="background1" w:themeShade="80"/>
                <w:sz w:val="20"/>
              </w:rPr>
              <w:t>a policy statement from the Federal Reserve, the January ADP payrolls report, and</w:t>
            </w:r>
            <w:r w:rsidRPr="00827EE9">
              <w:rPr>
                <w:rFonts w:ascii="Georgia" w:hAnsi="Georgia"/>
                <w:color w:val="808080" w:themeColor="background1" w:themeShade="80"/>
                <w:sz w:val="20"/>
              </w:rPr>
              <w:t xml:space="preserve"> </w:t>
            </w:r>
            <w:r w:rsidRPr="00827EE9">
              <w:rPr>
                <w:rFonts w:ascii="Georgia" w:hAnsi="Georgia"/>
                <w:color w:val="808080" w:themeColor="background1" w:themeShade="80"/>
                <w:sz w:val="20"/>
              </w:rPr>
              <w:t xml:space="preserve">the NAR’s </w:t>
            </w:r>
            <w:r w:rsidRPr="00827EE9">
              <w:rPr>
                <w:rFonts w:ascii="Georgia" w:hAnsi="Georgia"/>
                <w:color w:val="808080" w:themeColor="background1" w:themeShade="80"/>
                <w:sz w:val="20"/>
              </w:rPr>
              <w:t>December</w:t>
            </w:r>
            <w:r w:rsidRPr="00827EE9">
              <w:rPr>
                <w:rFonts w:ascii="Georgia" w:hAnsi="Georgia"/>
                <w:color w:val="808080" w:themeColor="background1" w:themeShade="80"/>
                <w:sz w:val="20"/>
              </w:rPr>
              <w:t xml:space="preserve"> pending home sales index </w:t>
            </w:r>
            <w:r w:rsidRPr="00827EE9">
              <w:rPr>
                <w:rFonts w:ascii="Georgia" w:hAnsi="Georgia"/>
                <w:color w:val="808080" w:themeColor="background1" w:themeShade="80"/>
                <w:sz w:val="20"/>
              </w:rPr>
              <w:t>(1/</w:t>
            </w:r>
            <w:r w:rsidRPr="00827EE9">
              <w:rPr>
                <w:rFonts w:ascii="Georgia" w:hAnsi="Georgia"/>
                <w:color w:val="808080" w:themeColor="background1" w:themeShade="80"/>
                <w:sz w:val="20"/>
              </w:rPr>
              <w:t>31</w:t>
            </w:r>
            <w:r w:rsidRPr="00827EE9">
              <w:rPr>
                <w:rFonts w:ascii="Georgia" w:hAnsi="Georgia"/>
                <w:color w:val="808080" w:themeColor="background1" w:themeShade="80"/>
                <w:sz w:val="20"/>
              </w:rPr>
              <w:t>)</w:t>
            </w:r>
            <w:r w:rsidRPr="00827EE9">
              <w:rPr>
                <w:rFonts w:ascii="Georgia" w:hAnsi="Georgia"/>
                <w:color w:val="808080" w:themeColor="background1" w:themeShade="80"/>
                <w:sz w:val="20"/>
              </w:rPr>
              <w:t>.</w:t>
            </w:r>
          </w:p>
          <w:p w:rsidR="00245D8E" w:rsidRPr="009E61D8" w:rsidRDefault="00694929" w:rsidP="005D4165">
            <w:pPr>
              <w:rPr>
                <w:rFonts w:ascii="Georgia" w:hAnsi="Georgia"/>
                <w:color w:val="244061"/>
                <w:sz w:val="20"/>
              </w:rPr>
            </w:pPr>
            <w:r w:rsidRPr="00197323">
              <w:rPr>
                <w:rFonts w:ascii="Georgia" w:hAnsi="Georgia"/>
                <w:color w:val="808080" w:themeColor="background1" w:themeShade="80"/>
                <w:sz w:val="20"/>
              </w:rPr>
              <w:t xml:space="preserve"> </w:t>
            </w:r>
          </w:p>
        </w:tc>
      </w:tr>
      <w:tr w:rsidR="00F71EDF" w:rsidTr="005D4165">
        <w:tc>
          <w:tcPr>
            <w:tcW w:w="9832" w:type="dxa"/>
            <w:gridSpan w:val="2"/>
            <w:tcBorders>
              <w:bottom w:val="single" w:sz="4" w:space="0" w:color="C0C0C0"/>
            </w:tcBorders>
            <w:shd w:val="clear" w:color="auto" w:fill="F3F3F3"/>
          </w:tcPr>
          <w:p w:rsidR="00245D8E" w:rsidRDefault="00694929" w:rsidP="005D4165">
            <w:pPr>
              <w:jc w:val="center"/>
              <w:rPr>
                <w:rFonts w:ascii="Georgia" w:hAnsi="Georgia"/>
                <w:b/>
                <w:i/>
                <w:color w:val="000000"/>
                <w:sz w:val="4"/>
              </w:rPr>
            </w:pPr>
          </w:p>
          <w:p w:rsidR="00245D8E" w:rsidRDefault="00694929" w:rsidP="005D4165">
            <w:pPr>
              <w:jc w:val="center"/>
              <w:rPr>
                <w:rFonts w:ascii="Georgia" w:hAnsi="Georgia"/>
                <w:b/>
                <w:i/>
                <w:color w:val="000000"/>
                <w:sz w:val="18"/>
              </w:rPr>
            </w:pPr>
            <w:r>
              <w:rPr>
                <w:rFonts w:ascii="Georgia" w:hAnsi="Georgia"/>
                <w:b/>
                <w:i/>
                <w:color w:val="000000"/>
                <w:sz w:val="18"/>
              </w:rPr>
              <w:t xml:space="preserve">Please feel free to forward this article to family, friends or colleagues. </w:t>
            </w:r>
            <w:r>
              <w:rPr>
                <w:rFonts w:ascii="Georgia" w:hAnsi="Georgia"/>
                <w:b/>
                <w:i/>
                <w:color w:val="000000"/>
                <w:sz w:val="18"/>
              </w:rPr>
              <w:br/>
              <w:t>If you would like us to add them to our distribution list, please reply with their address.</w:t>
            </w:r>
            <w:r>
              <w:rPr>
                <w:rFonts w:ascii="Georgia" w:hAnsi="Georgia"/>
                <w:b/>
                <w:i/>
                <w:color w:val="000000"/>
                <w:sz w:val="18"/>
              </w:rPr>
              <w:br/>
              <w:t xml:space="preserve">We will contact them first and </w:t>
            </w:r>
            <w:r>
              <w:rPr>
                <w:rFonts w:ascii="Georgia" w:hAnsi="Georgia"/>
                <w:b/>
                <w:i/>
                <w:color w:val="000000"/>
                <w:sz w:val="18"/>
              </w:rPr>
              <w:t>request their permission to add them to our list.</w:t>
            </w:r>
          </w:p>
          <w:p w:rsidR="00245D8E" w:rsidRDefault="00694929" w:rsidP="005D4165">
            <w:pPr>
              <w:jc w:val="center"/>
              <w:rPr>
                <w:rFonts w:ascii="Georgia" w:hAnsi="Georgia"/>
                <w:b/>
                <w:color w:val="000000"/>
                <w:sz w:val="4"/>
              </w:rPr>
            </w:pPr>
          </w:p>
        </w:tc>
      </w:tr>
      <w:tr w:rsidR="00F71EDF" w:rsidTr="005D4165">
        <w:tc>
          <w:tcPr>
            <w:tcW w:w="9832" w:type="dxa"/>
            <w:gridSpan w:val="2"/>
            <w:tcBorders>
              <w:top w:val="single" w:sz="4" w:space="0" w:color="C0C0C0"/>
              <w:left w:val="nil"/>
              <w:bottom w:val="nil"/>
              <w:right w:val="nil"/>
            </w:tcBorders>
          </w:tcPr>
          <w:p w:rsidR="00245D8E" w:rsidRDefault="00694929" w:rsidP="005D4165">
            <w:pPr>
              <w:rPr>
                <w:rFonts w:ascii="Georgia" w:hAnsi="Georgia"/>
              </w:rPr>
            </w:pPr>
          </w:p>
        </w:tc>
      </w:tr>
      <w:tr w:rsidR="00F71EDF" w:rsidTr="005D4165">
        <w:trPr>
          <w:trHeight w:val="9360"/>
        </w:trPr>
        <w:tc>
          <w:tcPr>
            <w:tcW w:w="9832" w:type="dxa"/>
            <w:gridSpan w:val="2"/>
            <w:tcBorders>
              <w:top w:val="nil"/>
              <w:left w:val="nil"/>
              <w:bottom w:val="nil"/>
              <w:right w:val="nil"/>
            </w:tcBorders>
          </w:tcPr>
          <w:p w:rsidR="0032653E" w:rsidRPr="00293CED" w:rsidRDefault="0032653E" w:rsidP="0032653E">
            <w:pPr>
              <w:rPr>
                <w:rFonts w:ascii="Georgia" w:hAnsi="Georgia"/>
                <w:noProof/>
                <w:color w:val="808080"/>
                <w:sz w:val="20"/>
                <w:szCs w:val="20"/>
              </w:rPr>
            </w:pPr>
            <w:r w:rsidRPr="00A8771C">
              <w:rPr>
                <w:rFonts w:ascii="Georgia" w:hAnsi="Georgia"/>
                <w:color w:val="808080"/>
                <w:sz w:val="20"/>
                <w:szCs w:val="20"/>
              </w:rPr>
              <w:fldChar w:fldCharType="begin"/>
            </w:r>
            <w:r w:rsidRPr="00A8771C">
              <w:rPr>
                <w:rFonts w:ascii="Georgia" w:hAnsi="Georgia"/>
                <w:color w:val="808080"/>
                <w:sz w:val="20"/>
                <w:szCs w:val="20"/>
              </w:rPr>
              <w:instrText xml:space="preserve"> MERGEFIELD  RepresentativeDisclosure  \* MERGEFORMAT </w:instrText>
            </w:r>
            <w:r w:rsidRPr="00A8771C">
              <w:rPr>
                <w:rFonts w:ascii="Georgia" w:hAnsi="Georgia"/>
                <w:color w:val="808080"/>
                <w:sz w:val="20"/>
                <w:szCs w:val="20"/>
              </w:rPr>
              <w:fldChar w:fldCharType="separate"/>
            </w:r>
            <w:r w:rsidRPr="00293CED">
              <w:rPr>
                <w:rFonts w:ascii="Georgia" w:hAnsi="Georgia"/>
                <w:noProof/>
                <w:color w:val="808080"/>
                <w:sz w:val="20"/>
                <w:szCs w:val="20"/>
              </w:rPr>
              <w:t xml:space="preserve">Securities offered through First Heartland® Capital, Inc., Member FINRA/SIPC </w:t>
            </w:r>
            <w:r>
              <w:rPr>
                <w:rFonts w:ascii="Georgia" w:hAnsi="Georgia"/>
                <w:noProof/>
                <w:color w:val="808080"/>
                <w:sz w:val="20"/>
                <w:szCs w:val="20"/>
              </w:rPr>
              <w:t xml:space="preserve"> </w:t>
            </w:r>
            <w:r w:rsidRPr="00293CED">
              <w:rPr>
                <w:rFonts w:ascii="Georgia" w:hAnsi="Georgia"/>
                <w:noProof/>
                <w:color w:val="808080"/>
                <w:sz w:val="20"/>
                <w:szCs w:val="20"/>
              </w:rPr>
              <w:t xml:space="preserve">Advisory Services offered through First Heartland Consultants, Inc. </w:t>
            </w:r>
            <w:r>
              <w:rPr>
                <w:rFonts w:ascii="Georgia" w:hAnsi="Georgia"/>
                <w:noProof/>
                <w:color w:val="808080"/>
                <w:sz w:val="20"/>
                <w:szCs w:val="20"/>
              </w:rPr>
              <w:t xml:space="preserve"> </w:t>
            </w:r>
            <w:r w:rsidRPr="00293CED">
              <w:rPr>
                <w:rFonts w:ascii="Georgia" w:hAnsi="Georgia"/>
                <w:noProof/>
                <w:color w:val="808080"/>
                <w:sz w:val="20"/>
                <w:szCs w:val="20"/>
              </w:rPr>
              <w:t xml:space="preserve">Rincon Financial Group, LLC is not affiliated with First Heartland® Capital, Inc.   </w:t>
            </w:r>
          </w:p>
          <w:p w:rsidR="0032653E" w:rsidRPr="00293CED" w:rsidRDefault="0032653E" w:rsidP="0032653E">
            <w:pPr>
              <w:rPr>
                <w:rFonts w:ascii="Georgia" w:hAnsi="Georgia"/>
                <w:noProof/>
                <w:color w:val="808080"/>
                <w:sz w:val="20"/>
                <w:szCs w:val="20"/>
              </w:rPr>
            </w:pPr>
            <w:r w:rsidRPr="00293CED">
              <w:rPr>
                <w:rFonts w:ascii="Georgia" w:hAnsi="Georgia"/>
                <w:noProof/>
                <w:color w:val="808080"/>
                <w:sz w:val="20"/>
                <w:szCs w:val="20"/>
              </w:rPr>
              <w:t xml:space="preserve"> </w:t>
            </w:r>
          </w:p>
          <w:p w:rsidR="0032653E" w:rsidRDefault="0032653E" w:rsidP="0032653E">
            <w:pPr>
              <w:rPr>
                <w:rFonts w:ascii="Georgia" w:hAnsi="Georgia"/>
                <w:color w:val="808080"/>
                <w:sz w:val="20"/>
                <w:szCs w:val="20"/>
              </w:rPr>
            </w:pPr>
            <w:r w:rsidRPr="00293CED">
              <w:rPr>
                <w:rFonts w:ascii="Georgia" w:hAnsi="Georgia"/>
                <w:noProof/>
                <w:color w:val="808080"/>
                <w:sz w:val="20"/>
                <w:szCs w:val="20"/>
              </w:rPr>
              <w:t xml:space="preserve">Certified Financial Planner Board of Standards Inc. owns the certification marks CFP®, Certified Financial PlannerTM and CFP® (with flame design) in the U.S., which it awards to individuals who successfully complete CFP Board’s initial and ongoing certification requirements. </w:t>
            </w:r>
            <w:r w:rsidRPr="00A8771C">
              <w:rPr>
                <w:rFonts w:ascii="Georgia" w:hAnsi="Georgia"/>
                <w:color w:val="808080"/>
                <w:sz w:val="20"/>
                <w:szCs w:val="20"/>
              </w:rPr>
              <w:fldChar w:fldCharType="end"/>
            </w:r>
          </w:p>
          <w:p w:rsidR="00245D8E" w:rsidRDefault="00694929" w:rsidP="005D4165">
            <w:pPr>
              <w:rPr>
                <w:rFonts w:ascii="Georgia" w:hAnsi="Georgia"/>
                <w:color w:val="808080"/>
                <w:sz w:val="20"/>
              </w:rPr>
            </w:pPr>
            <w:bookmarkStart w:id="0" w:name="_GoBack"/>
            <w:bookmarkEnd w:id="0"/>
          </w:p>
          <w:p w:rsidR="00245D8E" w:rsidRPr="00FD5939" w:rsidRDefault="00694929" w:rsidP="005D4165">
            <w:pPr>
              <w:widowControl w:val="0"/>
              <w:autoSpaceDE w:val="0"/>
              <w:autoSpaceDN w:val="0"/>
              <w:adjustRightInd w:val="0"/>
              <w:rPr>
                <w:rFonts w:ascii="Georgia" w:hAnsi="Georgia"/>
                <w:color w:val="808080"/>
                <w:sz w:val="16"/>
                <w:szCs w:val="16"/>
              </w:rPr>
            </w:pPr>
            <w:r w:rsidRPr="00FD5939">
              <w:rPr>
                <w:rFonts w:ascii="Georgia" w:hAnsi="Georgia" w:cs="Arial"/>
                <w:color w:val="808080"/>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FD5939">
              <w:rPr>
                <w:rFonts w:ascii="Georgia" w:hAnsi="Georgia" w:cs="Arial"/>
                <w:color w:val="808080"/>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FD5939">
              <w:rPr>
                <w:rFonts w:ascii="Georgia" w:hAnsi="Georgia" w:cs="Arial"/>
                <w:color w:val="808080"/>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FD5939">
              <w:rPr>
                <w:rFonts w:ascii="Georgia" w:hAnsi="Georgia" w:cs="Arial"/>
                <w:color w:val="808080"/>
                <w:sz w:val="16"/>
                <w:szCs w:val="16"/>
              </w:rPr>
              <w:t>ed and are not illustrative of any particular investment. Indices do not incur management fees, costs and expenses, and cannot be invested into directly. All economic and performance data is historical and not indicative of future results.</w:t>
            </w:r>
            <w:r w:rsidRPr="00FD5939">
              <w:rPr>
                <w:rFonts w:ascii="Georgia" w:hAnsi="Georgia"/>
                <w:color w:val="808080"/>
                <w:sz w:val="16"/>
                <w:szCs w:val="16"/>
              </w:rPr>
              <w:t xml:space="preserve"> The Dow Jones In</w:t>
            </w:r>
            <w:r w:rsidRPr="00FD5939">
              <w:rPr>
                <w:rFonts w:ascii="Georgia" w:hAnsi="Georgia"/>
                <w:color w:val="808080"/>
                <w:sz w:val="16"/>
                <w:szCs w:val="16"/>
              </w:rPr>
              <w:t>dustrial Average is a price-weighted index of 30 actively traded blue-chip stocks. The NASDAQ Composite Index is a market-weighted index of all over-the-counter common stocks traded on the National Association of Securities Dealers Automated Quotation Syst</w:t>
            </w:r>
            <w:r w:rsidRPr="00FD5939">
              <w:rPr>
                <w:rFonts w:ascii="Georgia" w:hAnsi="Georgia"/>
                <w:color w:val="808080"/>
                <w:sz w:val="16"/>
                <w:szCs w:val="16"/>
              </w:rPr>
              <w:t>em. The Standard &amp; Poor's 500 (S&amp;P 500)</w:t>
            </w:r>
            <w:r w:rsidRPr="00FD5939">
              <w:rPr>
                <w:rFonts w:ascii="Georgia" w:hAnsi="Georgia"/>
                <w:iCs/>
                <w:color w:val="808080"/>
                <w:sz w:val="16"/>
                <w:szCs w:val="16"/>
              </w:rPr>
              <w:t xml:space="preserve"> is a market-cap weighted index composed of the common stocks of 500 leading companies in leading industries of the U.S. economy</w:t>
            </w:r>
            <w:r w:rsidRPr="00FD5939">
              <w:rPr>
                <w:rFonts w:ascii="Georgia" w:hAnsi="Georgia"/>
                <w:color w:val="808080"/>
                <w:sz w:val="16"/>
                <w:szCs w:val="16"/>
              </w:rPr>
              <w:t>. The Russell 2000 Index measures the performance of the small-cap segment of the U.S. eq</w:t>
            </w:r>
            <w:r w:rsidRPr="00FD5939">
              <w:rPr>
                <w:rFonts w:ascii="Georgia" w:hAnsi="Georgia"/>
                <w:color w:val="808080"/>
                <w:sz w:val="16"/>
                <w:szCs w:val="16"/>
              </w:rPr>
              <w:t>uity universe. The CBOE Volatility Index</w:t>
            </w:r>
            <w:r w:rsidRPr="00B141C0">
              <w:rPr>
                <w:rFonts w:ascii="Georgia" w:hAnsi="Georgia"/>
                <w:color w:val="808080"/>
                <w:sz w:val="16"/>
                <w:szCs w:val="16"/>
                <w:vertAlign w:val="superscript"/>
              </w:rPr>
              <w:t>®</w:t>
            </w:r>
            <w:r w:rsidRPr="00FD5939">
              <w:rPr>
                <w:rFonts w:ascii="Georgia" w:hAnsi="Georgia"/>
                <w:color w:val="808080"/>
                <w:sz w:val="16"/>
                <w:szCs w:val="16"/>
              </w:rPr>
              <w:t xml:space="preserve"> (VIX</w:t>
            </w:r>
            <w:r w:rsidRPr="00B141C0">
              <w:rPr>
                <w:rFonts w:ascii="Georgia" w:hAnsi="Georgia"/>
                <w:color w:val="808080"/>
                <w:sz w:val="16"/>
                <w:szCs w:val="16"/>
                <w:vertAlign w:val="superscript"/>
              </w:rPr>
              <w:t>®</w:t>
            </w:r>
            <w:r w:rsidRPr="00FD5939">
              <w:rPr>
                <w:rFonts w:ascii="Georgia" w:hAnsi="Georgia"/>
                <w:color w:val="808080"/>
                <w:sz w:val="16"/>
                <w:szCs w:val="16"/>
              </w:rPr>
              <w:t xml:space="preserve">) is a key measure of market expectations of near-term volatility conveyed by S&amp;P 500 stock index option prices. NYSE Group, Inc. (NYSE:NYX) operates two securities exchanges: the New York Stock Exchange (the </w:t>
            </w:r>
            <w:r w:rsidRPr="00FD5939">
              <w:rPr>
                <w:rFonts w:ascii="Georgia" w:hAnsi="Georgia"/>
                <w:color w:val="808080"/>
                <w:sz w:val="16"/>
                <w:szCs w:val="16"/>
              </w:rPr>
              <w:t>“NYSE”) and NYSE Arca (formerly known as the Archipelago Exchange, or ArcaEx</w:t>
            </w:r>
            <w:r w:rsidRPr="00B141C0">
              <w:rPr>
                <w:rFonts w:ascii="Georgia" w:hAnsi="Georgia"/>
                <w:color w:val="808080"/>
                <w:sz w:val="16"/>
                <w:szCs w:val="16"/>
                <w:vertAlign w:val="superscript"/>
              </w:rPr>
              <w:t>®</w:t>
            </w:r>
            <w:r w:rsidRPr="00FD5939">
              <w:rPr>
                <w:rFonts w:ascii="Georgia" w:hAnsi="Georgia"/>
                <w:color w:val="808080"/>
                <w:sz w:val="16"/>
                <w:szCs w:val="16"/>
              </w:rPr>
              <w:t xml:space="preserve">, and the Pacific Exchange). NYSE Group is a leading provider of securities listing, trading and market </w:t>
            </w:r>
            <w:r w:rsidRPr="008D2CAE">
              <w:rPr>
                <w:rFonts w:ascii="Georgia" w:hAnsi="Georgia"/>
                <w:color w:val="808080" w:themeColor="background1" w:themeShade="80"/>
                <w:sz w:val="16"/>
                <w:szCs w:val="16"/>
              </w:rPr>
              <w:t xml:space="preserve">data products and services. The New York Mercantile Exchange, Inc. (NYMEX) </w:t>
            </w:r>
            <w:r w:rsidRPr="008D2CAE">
              <w:rPr>
                <w:rFonts w:ascii="Georgia" w:hAnsi="Georgia"/>
                <w:color w:val="808080" w:themeColor="background1" w:themeShade="80"/>
                <w:sz w:val="16"/>
                <w:szCs w:val="16"/>
              </w:rPr>
              <w:t>is the world's largest physical commodity futures exchange and the preeminent trading forum for energy and precious metals, with trading conducted through two divis</w:t>
            </w:r>
            <w:r w:rsidRPr="000C15C5">
              <w:rPr>
                <w:rFonts w:ascii="Georgia" w:hAnsi="Georgia"/>
                <w:color w:val="808080" w:themeColor="background1" w:themeShade="80"/>
                <w:sz w:val="16"/>
                <w:szCs w:val="16"/>
              </w:rPr>
              <w:t>ions – the NYMEX Division, home to the energy, platinum, and palladium markets, and the COME</w:t>
            </w:r>
            <w:r w:rsidRPr="000C15C5">
              <w:rPr>
                <w:rFonts w:ascii="Georgia" w:hAnsi="Georgia"/>
                <w:color w:val="808080" w:themeColor="background1" w:themeShade="80"/>
                <w:sz w:val="16"/>
                <w:szCs w:val="16"/>
              </w:rPr>
              <w:t>X Division, on which all other metals trade.</w:t>
            </w:r>
            <w:r w:rsidRPr="000C15C5">
              <w:rPr>
                <w:rFonts w:ascii="Georgia" w:hAnsi="Georgia"/>
                <w:color w:val="808080" w:themeColor="background1" w:themeShade="80"/>
                <w:sz w:val="16"/>
                <w:szCs w:val="16"/>
              </w:rPr>
              <w:t xml:space="preserve"> </w:t>
            </w:r>
            <w:r w:rsidRPr="000C15C5">
              <w:rPr>
                <w:rFonts w:ascii="Georgia" w:hAnsi="Georgia"/>
                <w:color w:val="808080" w:themeColor="background1" w:themeShade="80"/>
                <w:sz w:val="16"/>
              </w:rPr>
              <w:t>The MSCI Emerging Markets Index is a float-adjusted market capitalization index consisting of indices in more than 25 emerging economies.</w:t>
            </w:r>
            <w:r w:rsidRPr="000C15C5">
              <w:rPr>
                <w:rFonts w:ascii="Georgia" w:hAnsi="Georgia"/>
                <w:color w:val="808080" w:themeColor="background1" w:themeShade="80"/>
                <w:sz w:val="16"/>
                <w:szCs w:val="16"/>
              </w:rPr>
              <w:t xml:space="preserve"> </w:t>
            </w:r>
            <w:r w:rsidRPr="000C15C5">
              <w:rPr>
                <w:rFonts w:ascii="Georgia" w:hAnsi="Georgia"/>
                <w:color w:val="808080" w:themeColor="background1" w:themeShade="80"/>
                <w:sz w:val="16"/>
              </w:rPr>
              <w:t xml:space="preserve">The MSCI World Index is a free-float weighted equity index that includes </w:t>
            </w:r>
            <w:r w:rsidRPr="000C15C5">
              <w:rPr>
                <w:rFonts w:ascii="Georgia" w:hAnsi="Georgia"/>
                <w:color w:val="808080" w:themeColor="background1" w:themeShade="80"/>
                <w:sz w:val="16"/>
              </w:rPr>
              <w:t xml:space="preserve">developed world markets, and does not include emerging markets. </w:t>
            </w:r>
            <w:r w:rsidRPr="000C15C5">
              <w:rPr>
                <w:rFonts w:ascii="Georgia" w:hAnsi="Georgia"/>
                <w:color w:val="808080" w:themeColor="background1" w:themeShade="80"/>
                <w:sz w:val="16"/>
                <w:szCs w:val="16"/>
              </w:rPr>
              <w:t>The Bovespa Index is a gross total return index weighted by traded volume &amp; is comprised of the most liquid stocks traded on the Sao Paulo Stock Exchange</w:t>
            </w:r>
            <w:r>
              <w:rPr>
                <w:rFonts w:ascii="Georgia" w:hAnsi="Georgia"/>
                <w:color w:val="808080" w:themeColor="background1" w:themeShade="80"/>
                <w:sz w:val="16"/>
                <w:szCs w:val="16"/>
              </w:rPr>
              <w:t>.</w:t>
            </w:r>
            <w:r w:rsidRPr="000C15C5">
              <w:rPr>
                <w:rFonts w:ascii="Georgia" w:hAnsi="Georgia"/>
                <w:color w:val="808080" w:themeColor="background1" w:themeShade="80"/>
                <w:sz w:val="16"/>
                <w:szCs w:val="16"/>
              </w:rPr>
              <w:t xml:space="preserve"> The Mexican Stock Exchange, commonly </w:t>
            </w:r>
            <w:r w:rsidRPr="000C15C5">
              <w:rPr>
                <w:rFonts w:ascii="Georgia" w:hAnsi="Georgia"/>
                <w:color w:val="808080" w:themeColor="background1" w:themeShade="80"/>
                <w:sz w:val="16"/>
                <w:szCs w:val="16"/>
              </w:rPr>
              <w:t>known as Mexican Bolsa, Mexbol, or BMV, is the</w:t>
            </w:r>
            <w:r>
              <w:rPr>
                <w:rFonts w:ascii="Georgia" w:hAnsi="Georgia"/>
                <w:color w:val="808080" w:themeColor="background1" w:themeShade="80"/>
                <w:sz w:val="16"/>
                <w:szCs w:val="16"/>
              </w:rPr>
              <w:t xml:space="preserve"> only stock exchange in Mexico.</w:t>
            </w:r>
            <w:r>
              <w:rPr>
                <w:rFonts w:ascii="Georgia" w:hAnsi="Georgia"/>
                <w:color w:val="808080" w:themeColor="background1" w:themeShade="80"/>
                <w:sz w:val="16"/>
                <w:szCs w:val="16"/>
              </w:rPr>
              <w:t xml:space="preserve"> </w:t>
            </w:r>
            <w:r w:rsidRPr="00C52BE0">
              <w:rPr>
                <w:rFonts w:ascii="Georgia" w:hAnsi="Georgia"/>
                <w:color w:val="808080" w:themeColor="background1" w:themeShade="80"/>
                <w:sz w:val="16"/>
                <w:szCs w:val="16"/>
              </w:rPr>
              <w:t>The MERVAL Index (MERcado de VALores, literally Stock Exchange) is the most important index of the Buenos Aires Stock Exchange.</w:t>
            </w:r>
            <w:r>
              <w:rPr>
                <w:rFonts w:ascii="Georgia" w:hAnsi="Georgia"/>
                <w:color w:val="808080" w:themeColor="background1" w:themeShade="80"/>
                <w:sz w:val="16"/>
                <w:szCs w:val="16"/>
              </w:rPr>
              <w:t xml:space="preserve"> </w:t>
            </w:r>
            <w:r w:rsidRPr="00C52BE0">
              <w:rPr>
                <w:rFonts w:ascii="Georgia" w:hAnsi="Georgia"/>
                <w:color w:val="808080" w:themeColor="background1" w:themeShade="80"/>
                <w:sz w:val="16"/>
                <w:szCs w:val="16"/>
              </w:rPr>
              <w:t>The Nifty 50 (NTFE 50) is a well-diversified 50-st</w:t>
            </w:r>
            <w:r w:rsidRPr="00C52BE0">
              <w:rPr>
                <w:rFonts w:ascii="Georgia" w:hAnsi="Georgia"/>
                <w:color w:val="808080" w:themeColor="background1" w:themeShade="80"/>
                <w:sz w:val="16"/>
                <w:szCs w:val="16"/>
              </w:rPr>
              <w:t>ock index accounting for 13 sectors of the Indian economy. It is used for a variety of purposes such as benchmarking fund portfolios, index-based derivatives and index funds. The S&amp;P/TSX Composite Index is an index of the stock (equity) prices of the large</w:t>
            </w:r>
            <w:r w:rsidRPr="00C52BE0">
              <w:rPr>
                <w:rFonts w:ascii="Georgia" w:hAnsi="Georgia"/>
                <w:color w:val="808080" w:themeColor="background1" w:themeShade="80"/>
                <w:sz w:val="16"/>
                <w:szCs w:val="16"/>
              </w:rPr>
              <w:t>st companies on the Toronto Stock Exchange (TSX) as measured by market capitalization.</w:t>
            </w:r>
            <w:r>
              <w:rPr>
                <w:rFonts w:ascii="Georgia" w:hAnsi="Georgia"/>
                <w:color w:val="808080" w:themeColor="background1" w:themeShade="80"/>
                <w:sz w:val="16"/>
                <w:szCs w:val="16"/>
              </w:rPr>
              <w:t xml:space="preserve"> </w:t>
            </w:r>
            <w:r w:rsidRPr="00C52BE0">
              <w:rPr>
                <w:rFonts w:ascii="Georgia" w:hAnsi="Georgia"/>
                <w:color w:val="808080" w:themeColor="background1" w:themeShade="80"/>
                <w:sz w:val="16"/>
                <w:szCs w:val="16"/>
              </w:rPr>
              <w:t>The BSE SENSEX (Bombay Stock Exchange Sensitive Index), also-called the BSE 30 (BOMBAY STOCK EXCHANGE) or simply the SENSEX, is a free-float market capitalization-weight</w:t>
            </w:r>
            <w:r w:rsidRPr="00C52BE0">
              <w:rPr>
                <w:rFonts w:ascii="Georgia" w:hAnsi="Georgia"/>
                <w:color w:val="808080" w:themeColor="background1" w:themeShade="80"/>
                <w:sz w:val="16"/>
                <w:szCs w:val="16"/>
              </w:rPr>
              <w:t>ed stock market index of 30 well-established and financially sound companies listed on the Bombay Stock Exchange (BSE).</w:t>
            </w:r>
            <w:r>
              <w:rPr>
                <w:rFonts w:ascii="Georgia" w:hAnsi="Georgia"/>
                <w:color w:val="808080" w:themeColor="background1" w:themeShade="80"/>
                <w:sz w:val="16"/>
                <w:szCs w:val="16"/>
              </w:rPr>
              <w:t xml:space="preserve"> </w:t>
            </w:r>
            <w:r w:rsidRPr="004E3E26">
              <w:rPr>
                <w:rFonts w:ascii="Georgia" w:hAnsi="Georgia"/>
                <w:color w:val="808080" w:themeColor="background1" w:themeShade="80"/>
                <w:sz w:val="16"/>
                <w:szCs w:val="16"/>
              </w:rPr>
              <w:t xml:space="preserve">The All Ordinaries (XAO) is considered a total market barometer for the Australian stock market and contains the 500 largest ASX-listed </w:t>
            </w:r>
            <w:r w:rsidRPr="004E3E26">
              <w:rPr>
                <w:rFonts w:ascii="Georgia" w:hAnsi="Georgia"/>
                <w:color w:val="808080" w:themeColor="background1" w:themeShade="80"/>
                <w:sz w:val="16"/>
                <w:szCs w:val="16"/>
              </w:rPr>
              <w:t>companies by way of market capitalization. The Hang Seng Index is a free float-adjusted market capitalization-weighted stock market index that is the main indicator of the overall m</w:t>
            </w:r>
            <w:r>
              <w:rPr>
                <w:rFonts w:ascii="Georgia" w:hAnsi="Georgia"/>
                <w:color w:val="808080" w:themeColor="background1" w:themeShade="80"/>
                <w:sz w:val="16"/>
                <w:szCs w:val="16"/>
              </w:rPr>
              <w:t>arket performance in Hong Kong.</w:t>
            </w:r>
            <w:r w:rsidRPr="00C52BE0">
              <w:rPr>
                <w:rFonts w:ascii="Georgia" w:hAnsi="Georgia"/>
                <w:color w:val="808080" w:themeColor="background1" w:themeShade="80"/>
                <w:sz w:val="16"/>
                <w:szCs w:val="16"/>
              </w:rPr>
              <w:t xml:space="preserve"> </w:t>
            </w:r>
            <w:r w:rsidRPr="004E3E26">
              <w:rPr>
                <w:rFonts w:ascii="Georgia" w:hAnsi="Georgia"/>
                <w:color w:val="808080" w:themeColor="background1" w:themeShade="80"/>
                <w:sz w:val="16"/>
                <w:szCs w:val="16"/>
              </w:rPr>
              <w:t>Nikkei 225 (Ticker: ^N225) is a stock marke</w:t>
            </w:r>
            <w:r w:rsidRPr="004E3E26">
              <w:rPr>
                <w:rFonts w:ascii="Georgia" w:hAnsi="Georgia"/>
                <w:color w:val="808080" w:themeColor="background1" w:themeShade="80"/>
                <w:sz w:val="16"/>
                <w:szCs w:val="16"/>
              </w:rPr>
              <w:t>t index for the Tokyo Stock Exchange (TSE).  The Nikkei average is the most</w:t>
            </w:r>
            <w:r>
              <w:rPr>
                <w:rFonts w:ascii="Georgia" w:hAnsi="Georgia"/>
                <w:color w:val="808080" w:themeColor="background1" w:themeShade="80"/>
                <w:sz w:val="16"/>
                <w:szCs w:val="16"/>
              </w:rPr>
              <w:t xml:space="preserve"> watched index of Asian stocks.</w:t>
            </w:r>
            <w:r w:rsidRPr="000C15C5">
              <w:rPr>
                <w:rFonts w:ascii="Georgia" w:hAnsi="Georgia"/>
                <w:color w:val="808080" w:themeColor="background1" w:themeShade="80"/>
                <w:sz w:val="16"/>
                <w:szCs w:val="16"/>
              </w:rPr>
              <w:t xml:space="preserve"> </w:t>
            </w:r>
            <w:r w:rsidRPr="00FB5506">
              <w:rPr>
                <w:rFonts w:ascii="Georgia" w:hAnsi="Georgia"/>
                <w:color w:val="808080" w:themeColor="background1" w:themeShade="80"/>
                <w:sz w:val="16"/>
                <w:szCs w:val="16"/>
              </w:rPr>
              <w:t xml:space="preserve">The FTSE </w:t>
            </w:r>
            <w:r w:rsidRPr="00517EEC">
              <w:rPr>
                <w:rFonts w:ascii="Georgia" w:hAnsi="Georgia"/>
                <w:color w:val="808080" w:themeColor="background1" w:themeShade="80"/>
                <w:sz w:val="16"/>
                <w:szCs w:val="16"/>
              </w:rPr>
              <w:t xml:space="preserve">100 Index is a share index of the 100 companies listed on the London Stock Exchange with the highest market capitalization. </w:t>
            </w:r>
            <w:r w:rsidRPr="000E6266">
              <w:rPr>
                <w:rFonts w:ascii="Georgia" w:hAnsi="Georgia"/>
                <w:color w:val="808080" w:themeColor="background1" w:themeShade="80"/>
                <w:sz w:val="16"/>
                <w:szCs w:val="16"/>
              </w:rPr>
              <w:t xml:space="preserve">The DAX 30 is a </w:t>
            </w:r>
            <w:r w:rsidRPr="000E6266">
              <w:rPr>
                <w:rFonts w:ascii="Georgia" w:hAnsi="Georgia"/>
                <w:color w:val="808080" w:themeColor="background1" w:themeShade="80"/>
                <w:sz w:val="16"/>
                <w:szCs w:val="16"/>
              </w:rPr>
              <w:t>Blue-Chip stock market index consisting of the 30 major German companies trading on the Frankfurt Stock Exchange. The CAC-40 Index is a narrow-based, modified capitalization-weighted index of 40 companies listed on the Paris Bourse. The IBEX 35 is the benc</w:t>
            </w:r>
            <w:r w:rsidRPr="000E6266">
              <w:rPr>
                <w:rFonts w:ascii="Georgia" w:hAnsi="Georgia"/>
                <w:color w:val="808080" w:themeColor="background1" w:themeShade="80"/>
                <w:sz w:val="16"/>
                <w:szCs w:val="16"/>
              </w:rPr>
              <w:t>hmark stock market index of the Bolsa de Madrid, Spain’s principal stock exchange.</w:t>
            </w:r>
            <w:r>
              <w:rPr>
                <w:rFonts w:ascii="Georgia" w:hAnsi="Georgia"/>
                <w:color w:val="808080" w:themeColor="background1" w:themeShade="80"/>
                <w:sz w:val="16"/>
                <w:szCs w:val="16"/>
              </w:rPr>
              <w:t xml:space="preserve"> </w:t>
            </w:r>
            <w:r w:rsidRPr="00517EEC">
              <w:rPr>
                <w:rFonts w:ascii="Georgia" w:hAnsi="Georgia"/>
                <w:color w:val="808080" w:themeColor="background1" w:themeShade="80"/>
                <w:sz w:val="16"/>
                <w:szCs w:val="16"/>
              </w:rPr>
              <w:t xml:space="preserve">The SSE Composite Index is an index of all stocks (A shares and B shares) that are traded at the Shanghai Stock Exchange. </w:t>
            </w:r>
            <w:r w:rsidRPr="00517EEC">
              <w:rPr>
                <w:rFonts w:ascii="Georgia" w:hAnsi="Georgia"/>
                <w:color w:val="808080" w:themeColor="background1" w:themeShade="80"/>
                <w:sz w:val="16"/>
                <w:szCs w:val="16"/>
              </w:rPr>
              <w:t>The FTSE TWSE Taiwan 50 Index consists of the large</w:t>
            </w:r>
            <w:r w:rsidRPr="00517EEC">
              <w:rPr>
                <w:rFonts w:ascii="Georgia" w:hAnsi="Georgia"/>
                <w:color w:val="808080" w:themeColor="background1" w:themeShade="80"/>
                <w:sz w:val="16"/>
                <w:szCs w:val="16"/>
              </w:rPr>
              <w:t xml:space="preserve">st 50 companies by full market value, and is also the first narrow-based index published in Taiwan. </w:t>
            </w:r>
            <w:r w:rsidRPr="00517EEC">
              <w:rPr>
                <w:rFonts w:ascii="Georgia" w:hAnsi="Georgia"/>
                <w:color w:val="808080" w:themeColor="background1" w:themeShade="80"/>
                <w:sz w:val="16"/>
              </w:rPr>
              <w:t>The Korea Composite Stock Price Index or KOSPI is the major stock market index of South Korea, representing all common stocks traded on the Korea Exchange.</w:t>
            </w:r>
            <w:r w:rsidRPr="00517EEC">
              <w:rPr>
                <w:rFonts w:ascii="Georgia" w:hAnsi="Georgia"/>
                <w:color w:val="808080" w:themeColor="background1" w:themeShade="80"/>
                <w:sz w:val="16"/>
                <w:szCs w:val="16"/>
              </w:rPr>
              <w:t xml:space="preserve"> </w:t>
            </w:r>
            <w:r w:rsidRPr="00517EEC">
              <w:rPr>
                <w:rFonts w:ascii="Georgia" w:hAnsi="Georgia"/>
                <w:color w:val="808080" w:themeColor="background1" w:themeShade="80"/>
                <w:sz w:val="16"/>
                <w:szCs w:val="16"/>
              </w:rPr>
              <w:t xml:space="preserve">The US Dollar Index measures the performance of the U.S. dollar against a basket of six currencies. </w:t>
            </w:r>
            <w:r w:rsidRPr="00517EEC">
              <w:rPr>
                <w:rFonts w:ascii="Georgia" w:hAnsi="Georgia"/>
                <w:color w:val="808080" w:themeColor="background1" w:themeShade="80"/>
                <w:sz w:val="16"/>
                <w:szCs w:val="16"/>
              </w:rPr>
              <w:t>The NYSE Arca Biotechnology Index</w:t>
            </w:r>
            <w:r w:rsidRPr="00517EEC">
              <w:rPr>
                <w:rFonts w:ascii="Georgia" w:hAnsi="Georgia"/>
                <w:color w:val="808080" w:themeColor="background1" w:themeShade="80"/>
                <w:sz w:val="16"/>
                <w:szCs w:val="16"/>
                <w:vertAlign w:val="superscript"/>
              </w:rPr>
              <w:t>SM</w:t>
            </w:r>
            <w:r w:rsidRPr="00517EEC">
              <w:rPr>
                <w:rFonts w:ascii="Georgia" w:hAnsi="Georgia"/>
                <w:color w:val="808080" w:themeColor="background1" w:themeShade="80"/>
                <w:sz w:val="16"/>
                <w:szCs w:val="16"/>
              </w:rPr>
              <w:t xml:space="preserve"> is an </w:t>
            </w:r>
            <w:r w:rsidRPr="004840FF">
              <w:rPr>
                <w:rFonts w:ascii="Georgia" w:hAnsi="Georgia"/>
                <w:color w:val="808080" w:themeColor="background1" w:themeShade="80"/>
                <w:sz w:val="16"/>
                <w:szCs w:val="16"/>
              </w:rPr>
              <w:t xml:space="preserve">equal dollar weighted index designed to measure </w:t>
            </w:r>
            <w:r w:rsidRPr="004840FF">
              <w:rPr>
                <w:rFonts w:ascii="Georgia" w:hAnsi="Georgia"/>
                <w:color w:val="808080" w:themeColor="background1" w:themeShade="80"/>
                <w:sz w:val="16"/>
                <w:szCs w:val="16"/>
              </w:rPr>
              <w:lastRenderedPageBreak/>
              <w:t xml:space="preserve">the performance of a cross section of companies in the biotechnology industry that are primarily involved in the use of biological processes to develop products or provide services </w:t>
            </w:r>
            <w:r w:rsidRPr="00962770">
              <w:rPr>
                <w:rFonts w:ascii="Georgia" w:hAnsi="Georgia" w:cs="Arial"/>
                <w:color w:val="808080" w:themeColor="background1" w:themeShade="80"/>
                <w:sz w:val="16"/>
                <w:szCs w:val="16"/>
              </w:rPr>
              <w:t>Additional risks are associ</w:t>
            </w:r>
            <w:r w:rsidRPr="00962770">
              <w:rPr>
                <w:rFonts w:ascii="Georgia" w:hAnsi="Georgia" w:cs="Arial"/>
                <w:color w:val="808080" w:themeColor="background1" w:themeShade="80"/>
                <w:sz w:val="16"/>
                <w:szCs w:val="16"/>
              </w:rPr>
              <w:t xml:space="preserve">ated with international </w:t>
            </w:r>
            <w:r w:rsidRPr="00FD5939">
              <w:rPr>
                <w:rFonts w:ascii="Georgia" w:hAnsi="Georgia" w:cs="Arial"/>
                <w:color w:val="808080"/>
                <w:sz w:val="16"/>
                <w:szCs w:val="16"/>
              </w:rPr>
              <w:t>investing, such as currency fluctuations, political and economic instability and differences in accounting standards. This material represents an assessment of the market environment at a specific point in time and is not intended t</w:t>
            </w:r>
            <w:r w:rsidRPr="00FD5939">
              <w:rPr>
                <w:rFonts w:ascii="Georgia" w:hAnsi="Georgia" w:cs="Arial"/>
                <w:color w:val="808080"/>
                <w:sz w:val="16"/>
                <w:szCs w:val="16"/>
              </w:rPr>
              <w:t>o be a forecast of future events, or a guarantee of future results. MarketingPro, Inc. is not affiliated with any person or firm that may be providing this information to you. The publisher is not engaged in rendering legal, accounting or other professiona</w:t>
            </w:r>
            <w:r w:rsidRPr="00FD5939">
              <w:rPr>
                <w:rFonts w:ascii="Georgia" w:hAnsi="Georgia" w:cs="Arial"/>
                <w:color w:val="808080"/>
                <w:sz w:val="16"/>
                <w:szCs w:val="16"/>
              </w:rPr>
              <w:t>l services. If assistance is needed, the reader is advised to engage the services of a competent professional</w:t>
            </w:r>
            <w:r w:rsidRPr="00FD5939">
              <w:rPr>
                <w:rFonts w:ascii="Georgia" w:hAnsi="Georgia"/>
                <w:color w:val="808080"/>
                <w:sz w:val="16"/>
                <w:szCs w:val="16"/>
              </w:rPr>
              <w:t>.</w:t>
            </w:r>
          </w:p>
          <w:p w:rsidR="00245D8E" w:rsidRDefault="00694929" w:rsidP="005D4165">
            <w:pPr>
              <w:widowControl w:val="0"/>
              <w:autoSpaceDE w:val="0"/>
              <w:autoSpaceDN w:val="0"/>
              <w:adjustRightInd w:val="0"/>
              <w:rPr>
                <w:rFonts w:ascii="Georgia" w:hAnsi="Georgia"/>
                <w:color w:val="808080"/>
                <w:sz w:val="16"/>
              </w:rPr>
            </w:pPr>
            <w:r>
              <w:rPr>
                <w:rFonts w:ascii="Georgia" w:hAnsi="Georgia"/>
                <w:color w:val="808080"/>
                <w:sz w:val="16"/>
              </w:rPr>
              <w:t xml:space="preserve"> </w:t>
            </w:r>
          </w:p>
          <w:p w:rsidR="00245D8E" w:rsidRDefault="00694929" w:rsidP="005D4165">
            <w:pPr>
              <w:widowControl w:val="0"/>
              <w:autoSpaceDE w:val="0"/>
              <w:autoSpaceDN w:val="0"/>
              <w:adjustRightInd w:val="0"/>
              <w:rPr>
                <w:rFonts w:ascii="Georgia" w:hAnsi="Georgia"/>
                <w:color w:val="808080"/>
                <w:sz w:val="16"/>
              </w:rPr>
            </w:pPr>
            <w:r>
              <w:rPr>
                <w:rFonts w:ascii="Georgia" w:hAnsi="Georgia"/>
                <w:b/>
                <w:color w:val="808080"/>
              </w:rPr>
              <w:t>Citations.</w:t>
            </w:r>
          </w:p>
          <w:p w:rsidR="000F415C" w:rsidRDefault="00694929" w:rsidP="005D4165">
            <w:pPr>
              <w:pStyle w:val="PlainText"/>
              <w:rPr>
                <w:rFonts w:ascii="Courier New" w:hAnsi="Courier New" w:cs="Courier New"/>
                <w:sz w:val="18"/>
                <w:szCs w:val="18"/>
              </w:rPr>
            </w:pPr>
            <w:r>
              <w:rPr>
                <w:rFonts w:ascii="Georgia" w:hAnsi="Georgia" w:cs="Courier New"/>
                <w:color w:val="808080"/>
                <w:sz w:val="16"/>
                <w:szCs w:val="16"/>
              </w:rPr>
              <w:t xml:space="preserve">1 - </w:t>
            </w:r>
            <w:r w:rsidRPr="00C56A96">
              <w:rPr>
                <w:rFonts w:ascii="Georgia" w:hAnsi="Georgia" w:cs="Courier New"/>
                <w:color w:val="808080"/>
                <w:sz w:val="16"/>
                <w:szCs w:val="16"/>
              </w:rPr>
              <w:t xml:space="preserve">us.spindices.com/indices/equity/sp-500 </w:t>
            </w:r>
            <w:r>
              <w:rPr>
                <w:rFonts w:ascii="Georgia" w:hAnsi="Georgia" w:cs="Courier New"/>
                <w:color w:val="808080"/>
                <w:sz w:val="16"/>
                <w:szCs w:val="16"/>
              </w:rPr>
              <w:t>[12/29/17]</w:t>
            </w:r>
          </w:p>
          <w:p w:rsidR="004B553A" w:rsidRPr="00AE01AC" w:rsidRDefault="00694929" w:rsidP="004B553A">
            <w:pPr>
              <w:rPr>
                <w:rFonts w:ascii="Georgia" w:hAnsi="Georgia" w:cs="Calibri"/>
                <w:color w:val="808080"/>
                <w:sz w:val="16"/>
                <w:szCs w:val="16"/>
              </w:rPr>
            </w:pPr>
            <w:r>
              <w:rPr>
                <w:rFonts w:ascii="Georgia" w:hAnsi="Georgia" w:cs="Calibri"/>
                <w:color w:val="808080"/>
                <w:sz w:val="16"/>
                <w:szCs w:val="16"/>
              </w:rPr>
              <w:t>2</w:t>
            </w:r>
            <w:r w:rsidRPr="00AE01AC">
              <w:rPr>
                <w:rFonts w:ascii="Georgia" w:hAnsi="Georgia" w:cs="Calibri"/>
                <w:color w:val="808080"/>
                <w:sz w:val="16"/>
                <w:szCs w:val="16"/>
              </w:rPr>
              <w:t xml:space="preserve"> - cpapracticeadvisor.com/news/12388205/2018-tax-reform-law-new-tax-brackets-credits-and-deductions [12/22/17]</w:t>
            </w:r>
          </w:p>
          <w:p w:rsidR="00111352" w:rsidRDefault="00694929" w:rsidP="00111352">
            <w:pPr>
              <w:rPr>
                <w:rFonts w:ascii="Georgia" w:hAnsi="Georgia" w:cs="Arial"/>
                <w:color w:val="808080"/>
                <w:sz w:val="16"/>
              </w:rPr>
            </w:pPr>
            <w:r>
              <w:rPr>
                <w:rFonts w:ascii="Georgia" w:hAnsi="Georgia" w:cs="Arial"/>
                <w:color w:val="808080"/>
                <w:sz w:val="16"/>
              </w:rPr>
              <w:t xml:space="preserve">3 - </w:t>
            </w:r>
            <w:r w:rsidRPr="00EA6F5C">
              <w:rPr>
                <w:rFonts w:ascii="Georgia" w:hAnsi="Georgia" w:cs="Arial"/>
                <w:color w:val="808080"/>
                <w:sz w:val="16"/>
              </w:rPr>
              <w:t>bloomberg.com/news/articles/2017-12-13/fed-raises-rates-while-sticking-to-three-hike-outlook-for-2018</w:t>
            </w:r>
            <w:r w:rsidRPr="005F3BAA">
              <w:rPr>
                <w:rFonts w:ascii="Georgia" w:hAnsi="Georgia" w:cs="Arial"/>
                <w:color w:val="808080"/>
                <w:sz w:val="16"/>
              </w:rPr>
              <w:t xml:space="preserve"> </w:t>
            </w:r>
            <w:r>
              <w:rPr>
                <w:rFonts w:ascii="Georgia" w:hAnsi="Georgia" w:cs="Arial"/>
                <w:color w:val="808080"/>
                <w:sz w:val="16"/>
              </w:rPr>
              <w:t>[12/13/17]</w:t>
            </w:r>
          </w:p>
          <w:p w:rsidR="00245D8E" w:rsidRDefault="00694929" w:rsidP="005D4165">
            <w:pPr>
              <w:rPr>
                <w:rFonts w:ascii="Georgia" w:hAnsi="Georgia" w:cs="Arial"/>
                <w:color w:val="808080"/>
                <w:sz w:val="16"/>
              </w:rPr>
            </w:pPr>
            <w:r>
              <w:rPr>
                <w:rFonts w:ascii="Georgia" w:hAnsi="Georgia" w:cs="Arial"/>
                <w:color w:val="808080"/>
                <w:sz w:val="16"/>
              </w:rPr>
              <w:t>4</w:t>
            </w:r>
            <w:r w:rsidRPr="00CC40F0">
              <w:rPr>
                <w:rFonts w:ascii="Georgia" w:hAnsi="Georgia" w:cs="Arial"/>
                <w:color w:val="808080"/>
                <w:sz w:val="16"/>
              </w:rPr>
              <w:t xml:space="preserve"> - </w:t>
            </w:r>
            <w:r w:rsidRPr="00560EB6">
              <w:rPr>
                <w:rFonts w:ascii="Georgia" w:hAnsi="Georgia" w:cs="Arial"/>
                <w:color w:val="808080"/>
                <w:sz w:val="16"/>
              </w:rPr>
              <w:t>marketwatch.com/economy-</w:t>
            </w:r>
            <w:r w:rsidRPr="00560EB6">
              <w:rPr>
                <w:rFonts w:ascii="Georgia" w:hAnsi="Georgia" w:cs="Arial"/>
                <w:color w:val="808080"/>
                <w:sz w:val="16"/>
              </w:rPr>
              <w:t>politics/calendars/economic</w:t>
            </w:r>
            <w:r w:rsidRPr="00B5317B">
              <w:rPr>
                <w:rFonts w:ascii="Georgia" w:hAnsi="Georgia" w:cs="Arial"/>
                <w:color w:val="808080"/>
                <w:sz w:val="16"/>
              </w:rPr>
              <w:t xml:space="preserve"> </w:t>
            </w:r>
            <w:r w:rsidRPr="00CC40F0">
              <w:rPr>
                <w:rFonts w:ascii="Georgia" w:hAnsi="Georgia" w:cs="Arial"/>
                <w:color w:val="808080"/>
                <w:sz w:val="16"/>
              </w:rPr>
              <w:t>[</w:t>
            </w:r>
            <w:r>
              <w:rPr>
                <w:rFonts w:ascii="Georgia" w:hAnsi="Georgia" w:cs="Arial"/>
                <w:color w:val="808080"/>
                <w:sz w:val="16"/>
              </w:rPr>
              <w:t>12/29</w:t>
            </w:r>
            <w:r w:rsidRPr="00CC40F0">
              <w:rPr>
                <w:rFonts w:ascii="Georgia" w:hAnsi="Georgia" w:cs="Arial"/>
                <w:color w:val="808080"/>
                <w:sz w:val="16"/>
              </w:rPr>
              <w:t>/1</w:t>
            </w:r>
            <w:r>
              <w:rPr>
                <w:rFonts w:ascii="Georgia" w:hAnsi="Georgia" w:cs="Arial"/>
                <w:color w:val="808080"/>
                <w:sz w:val="16"/>
              </w:rPr>
              <w:t>7</w:t>
            </w:r>
            <w:r w:rsidRPr="00CC40F0">
              <w:rPr>
                <w:rFonts w:ascii="Georgia" w:hAnsi="Georgia" w:cs="Arial"/>
                <w:color w:val="808080"/>
                <w:sz w:val="16"/>
              </w:rPr>
              <w:t>]</w:t>
            </w:r>
          </w:p>
          <w:p w:rsidR="00184164" w:rsidRPr="007233D6" w:rsidRDefault="00694929" w:rsidP="00184164">
            <w:pPr>
              <w:widowControl w:val="0"/>
              <w:autoSpaceDE w:val="0"/>
              <w:autoSpaceDN w:val="0"/>
              <w:adjustRightInd w:val="0"/>
              <w:rPr>
                <w:rFonts w:ascii="Georgia" w:hAnsi="Georgia"/>
                <w:color w:val="808080"/>
                <w:sz w:val="16"/>
              </w:rPr>
            </w:pPr>
            <w:r>
              <w:rPr>
                <w:rFonts w:ascii="Georgia" w:hAnsi="Georgia"/>
                <w:color w:val="808080"/>
                <w:sz w:val="16"/>
              </w:rPr>
              <w:t>5</w:t>
            </w:r>
            <w:r w:rsidRPr="007233D6">
              <w:rPr>
                <w:rFonts w:ascii="Georgia" w:hAnsi="Georgia"/>
                <w:color w:val="808080"/>
                <w:sz w:val="16"/>
              </w:rPr>
              <w:t xml:space="preserve"> - </w:t>
            </w:r>
            <w:r w:rsidRPr="00184164">
              <w:rPr>
                <w:rFonts w:ascii="Georgia" w:hAnsi="Georgia"/>
                <w:color w:val="808080"/>
                <w:sz w:val="16"/>
              </w:rPr>
              <w:t>instituteforsupplymanagement.org/ISMReport/NonMfgROB.cfm?SSO=1</w:t>
            </w:r>
            <w:r w:rsidRPr="007502C2">
              <w:rPr>
                <w:rFonts w:ascii="Georgia" w:hAnsi="Georgia"/>
                <w:color w:val="808080"/>
                <w:sz w:val="16"/>
              </w:rPr>
              <w:t xml:space="preserve"> </w:t>
            </w:r>
            <w:r>
              <w:rPr>
                <w:rFonts w:ascii="Georgia" w:hAnsi="Georgia"/>
                <w:color w:val="808080"/>
                <w:sz w:val="16"/>
              </w:rPr>
              <w:t>[12/5</w:t>
            </w:r>
            <w:r w:rsidRPr="007233D6">
              <w:rPr>
                <w:rFonts w:ascii="Georgia" w:hAnsi="Georgia"/>
                <w:color w:val="808080"/>
                <w:sz w:val="16"/>
              </w:rPr>
              <w:t>/17]</w:t>
            </w:r>
          </w:p>
          <w:p w:rsidR="00886093" w:rsidRPr="00EA3A8C" w:rsidRDefault="00694929" w:rsidP="00886093">
            <w:pPr>
              <w:pStyle w:val="BodyText"/>
              <w:rPr>
                <w:rFonts w:cs="Calibri"/>
                <w:color w:val="808080"/>
                <w:sz w:val="16"/>
                <w:szCs w:val="16"/>
              </w:rPr>
            </w:pPr>
            <w:r>
              <w:rPr>
                <w:rFonts w:cs="Calibri"/>
                <w:color w:val="808080"/>
                <w:sz w:val="16"/>
                <w:szCs w:val="16"/>
              </w:rPr>
              <w:t>6</w:t>
            </w:r>
            <w:r w:rsidRPr="00EA3A8C">
              <w:rPr>
                <w:rFonts w:cs="Calibri"/>
                <w:color w:val="808080"/>
                <w:sz w:val="16"/>
                <w:szCs w:val="16"/>
              </w:rPr>
              <w:t xml:space="preserve"> - </w:t>
            </w:r>
            <w:r w:rsidRPr="00C84C67">
              <w:rPr>
                <w:rFonts w:cs="Calibri"/>
                <w:color w:val="808080"/>
                <w:sz w:val="16"/>
                <w:szCs w:val="16"/>
              </w:rPr>
              <w:t>latimes.com/business/la-fi-retail-apocalypse-20171225-story.html</w:t>
            </w:r>
            <w:r w:rsidRPr="00EE7B4A">
              <w:rPr>
                <w:rFonts w:cs="Calibri"/>
                <w:color w:val="808080"/>
                <w:sz w:val="16"/>
                <w:szCs w:val="16"/>
              </w:rPr>
              <w:t xml:space="preserve"> </w:t>
            </w:r>
            <w:r w:rsidRPr="00EA3A8C">
              <w:rPr>
                <w:rFonts w:cs="Calibri"/>
                <w:color w:val="808080"/>
                <w:sz w:val="16"/>
                <w:szCs w:val="16"/>
              </w:rPr>
              <w:t>[</w:t>
            </w:r>
            <w:r>
              <w:rPr>
                <w:rFonts w:cs="Calibri"/>
                <w:color w:val="808080"/>
                <w:sz w:val="16"/>
                <w:szCs w:val="16"/>
              </w:rPr>
              <w:t>12/25</w:t>
            </w:r>
            <w:r w:rsidRPr="00EA3A8C">
              <w:rPr>
                <w:rFonts w:cs="Calibri"/>
                <w:color w:val="808080"/>
                <w:sz w:val="16"/>
                <w:szCs w:val="16"/>
              </w:rPr>
              <w:t>/17]</w:t>
            </w:r>
          </w:p>
          <w:p w:rsidR="00FC537D" w:rsidRDefault="00694929" w:rsidP="00FC537D">
            <w:pPr>
              <w:rPr>
                <w:rFonts w:ascii="Georgia" w:hAnsi="Georgia" w:cs="Arial"/>
                <w:color w:val="808080"/>
                <w:sz w:val="16"/>
              </w:rPr>
            </w:pPr>
            <w:r>
              <w:rPr>
                <w:rFonts w:ascii="Georgia" w:hAnsi="Georgia" w:cs="Arial"/>
                <w:color w:val="808080"/>
                <w:sz w:val="16"/>
              </w:rPr>
              <w:t xml:space="preserve">7 - </w:t>
            </w:r>
            <w:r w:rsidRPr="005F3BAA">
              <w:rPr>
                <w:rFonts w:ascii="Georgia" w:hAnsi="Georgia" w:cs="Arial"/>
                <w:color w:val="808080"/>
                <w:sz w:val="16"/>
              </w:rPr>
              <w:t>fortune.com/2017/12/08/november</w:t>
            </w:r>
            <w:r w:rsidRPr="005F3BAA">
              <w:rPr>
                <w:rFonts w:ascii="Georgia" w:hAnsi="Georgia" w:cs="Arial"/>
                <w:color w:val="808080"/>
                <w:sz w:val="16"/>
              </w:rPr>
              <w:t xml:space="preserve">-job-report-unemployment-rate/ </w:t>
            </w:r>
            <w:r>
              <w:rPr>
                <w:rFonts w:ascii="Georgia" w:hAnsi="Georgia" w:cs="Arial"/>
                <w:color w:val="808080"/>
                <w:sz w:val="16"/>
              </w:rPr>
              <w:t>[12/8/17]</w:t>
            </w:r>
          </w:p>
          <w:p w:rsidR="003B630E" w:rsidRPr="00B66712" w:rsidRDefault="00694929" w:rsidP="003B630E">
            <w:pPr>
              <w:pStyle w:val="BodyText"/>
              <w:rPr>
                <w:rFonts w:cs="Calibri"/>
                <w:color w:val="808080"/>
                <w:spacing w:val="-8"/>
                <w:sz w:val="16"/>
                <w:szCs w:val="16"/>
              </w:rPr>
            </w:pPr>
            <w:r>
              <w:rPr>
                <w:rFonts w:cs="Calibri"/>
                <w:color w:val="808080"/>
                <w:spacing w:val="-8"/>
                <w:sz w:val="16"/>
                <w:szCs w:val="16"/>
              </w:rPr>
              <w:t>8</w:t>
            </w:r>
            <w:r w:rsidRPr="00B66712">
              <w:rPr>
                <w:rFonts w:cs="Calibri"/>
                <w:color w:val="808080"/>
                <w:spacing w:val="-8"/>
                <w:sz w:val="16"/>
                <w:szCs w:val="16"/>
              </w:rPr>
              <w:t xml:space="preserve"> - reuters.com/article/us-usa-economy-inflation/u-s-core-inflation-slows-puts-spotlight-on-2018-interest-rate-outlook-idUSKBN1E71QM [12/13/17]</w:t>
            </w:r>
          </w:p>
          <w:p w:rsidR="00245D8E" w:rsidRPr="008626BA" w:rsidRDefault="00694929" w:rsidP="005D4165">
            <w:pPr>
              <w:widowControl w:val="0"/>
              <w:autoSpaceDE w:val="0"/>
              <w:autoSpaceDN w:val="0"/>
              <w:adjustRightInd w:val="0"/>
              <w:rPr>
                <w:rFonts w:ascii="Georgia" w:hAnsi="Georgia"/>
                <w:color w:val="808080"/>
                <w:sz w:val="16"/>
              </w:rPr>
            </w:pPr>
            <w:r>
              <w:rPr>
                <w:rFonts w:ascii="Georgia" w:hAnsi="Georgia"/>
                <w:color w:val="808080"/>
                <w:sz w:val="16"/>
              </w:rPr>
              <w:t>9</w:t>
            </w:r>
            <w:r w:rsidRPr="008626BA">
              <w:rPr>
                <w:rFonts w:ascii="Georgia" w:hAnsi="Georgia"/>
                <w:color w:val="808080"/>
                <w:sz w:val="16"/>
              </w:rPr>
              <w:t xml:space="preserve"> - </w:t>
            </w:r>
            <w:r w:rsidRPr="008626BA">
              <w:rPr>
                <w:rFonts w:ascii="Georgia" w:hAnsi="Georgia"/>
                <w:color w:val="808080"/>
                <w:sz w:val="16"/>
              </w:rPr>
              <w:t>ec.europa.eu/eurostat</w:t>
            </w:r>
            <w:r w:rsidRPr="008626BA">
              <w:rPr>
                <w:rFonts w:ascii="Georgia" w:hAnsi="Georgia"/>
                <w:color w:val="808080"/>
                <w:sz w:val="16"/>
              </w:rPr>
              <w:t xml:space="preserve"> </w:t>
            </w:r>
            <w:r w:rsidRPr="008626BA">
              <w:rPr>
                <w:rFonts w:ascii="Georgia" w:hAnsi="Georgia"/>
                <w:color w:val="808080"/>
                <w:sz w:val="16"/>
              </w:rPr>
              <w:t>[</w:t>
            </w:r>
            <w:r>
              <w:rPr>
                <w:rFonts w:ascii="Georgia" w:hAnsi="Georgia"/>
                <w:color w:val="808080"/>
                <w:sz w:val="16"/>
              </w:rPr>
              <w:t>12/29</w:t>
            </w:r>
            <w:r w:rsidRPr="008626BA">
              <w:rPr>
                <w:rFonts w:ascii="Georgia" w:hAnsi="Georgia"/>
                <w:color w:val="808080"/>
                <w:sz w:val="16"/>
              </w:rPr>
              <w:t>/17]</w:t>
            </w:r>
          </w:p>
          <w:p w:rsidR="00E60BC2" w:rsidRPr="001B3145" w:rsidRDefault="00694929" w:rsidP="005D4165">
            <w:pPr>
              <w:pStyle w:val="PlainText"/>
              <w:rPr>
                <w:rFonts w:ascii="Georgia" w:hAnsi="Georgia" w:cs="Courier New"/>
                <w:color w:val="808080"/>
                <w:sz w:val="16"/>
                <w:szCs w:val="16"/>
              </w:rPr>
            </w:pPr>
            <w:r>
              <w:rPr>
                <w:rFonts w:ascii="Georgia" w:hAnsi="Georgia" w:cs="Courier New"/>
                <w:color w:val="808080"/>
                <w:sz w:val="16"/>
                <w:szCs w:val="16"/>
              </w:rPr>
              <w:t>10</w:t>
            </w:r>
            <w:r>
              <w:rPr>
                <w:rFonts w:ascii="Georgia" w:hAnsi="Georgia" w:cs="Courier New"/>
                <w:color w:val="808080"/>
                <w:sz w:val="16"/>
                <w:szCs w:val="16"/>
              </w:rPr>
              <w:t xml:space="preserve"> - </w:t>
            </w:r>
            <w:r w:rsidRPr="00C45B38">
              <w:rPr>
                <w:rFonts w:ascii="Georgia" w:hAnsi="Georgia" w:cs="Courier New"/>
                <w:color w:val="808080"/>
                <w:sz w:val="16"/>
                <w:szCs w:val="16"/>
              </w:rPr>
              <w:t xml:space="preserve">qz.com/1163174/the-economic-surprise-of-2017-was-europes-best-year-in-a-decade/ </w:t>
            </w:r>
            <w:r w:rsidRPr="001B3145">
              <w:rPr>
                <w:rFonts w:ascii="Georgia" w:hAnsi="Georgia" w:cs="Courier New"/>
                <w:color w:val="808080"/>
                <w:sz w:val="16"/>
                <w:szCs w:val="16"/>
              </w:rPr>
              <w:t>[</w:t>
            </w:r>
            <w:r>
              <w:rPr>
                <w:rFonts w:ascii="Georgia" w:hAnsi="Georgia" w:cs="Courier New"/>
                <w:color w:val="808080"/>
                <w:sz w:val="16"/>
                <w:szCs w:val="16"/>
              </w:rPr>
              <w:t>1</w:t>
            </w:r>
            <w:r>
              <w:rPr>
                <w:rFonts w:ascii="Georgia" w:hAnsi="Georgia" w:cs="Courier New"/>
                <w:color w:val="808080"/>
                <w:sz w:val="16"/>
                <w:szCs w:val="16"/>
              </w:rPr>
              <w:t>2</w:t>
            </w:r>
            <w:r>
              <w:rPr>
                <w:rFonts w:ascii="Georgia" w:hAnsi="Georgia" w:cs="Courier New"/>
                <w:color w:val="808080"/>
                <w:sz w:val="16"/>
                <w:szCs w:val="16"/>
              </w:rPr>
              <w:t>/</w:t>
            </w:r>
            <w:r>
              <w:rPr>
                <w:rFonts w:ascii="Georgia" w:hAnsi="Georgia" w:cs="Courier New"/>
                <w:color w:val="808080"/>
                <w:sz w:val="16"/>
                <w:szCs w:val="16"/>
              </w:rPr>
              <w:t>2</w:t>
            </w:r>
            <w:r>
              <w:rPr>
                <w:rFonts w:ascii="Georgia" w:hAnsi="Georgia" w:cs="Courier New"/>
                <w:color w:val="808080"/>
                <w:sz w:val="16"/>
                <w:szCs w:val="16"/>
              </w:rPr>
              <w:t>5</w:t>
            </w:r>
            <w:r w:rsidRPr="001B3145">
              <w:rPr>
                <w:rFonts w:ascii="Georgia" w:hAnsi="Georgia" w:cs="Courier New"/>
                <w:color w:val="808080"/>
                <w:sz w:val="16"/>
                <w:szCs w:val="16"/>
              </w:rPr>
              <w:t>/17]</w:t>
            </w:r>
          </w:p>
          <w:p w:rsidR="00943B28" w:rsidRDefault="00694929" w:rsidP="00943B28">
            <w:pPr>
              <w:pStyle w:val="PlainText"/>
              <w:rPr>
                <w:rFonts w:ascii="Georgia" w:hAnsi="Georgia" w:cs="Courier New"/>
                <w:color w:val="808080"/>
                <w:sz w:val="16"/>
                <w:szCs w:val="16"/>
              </w:rPr>
            </w:pPr>
            <w:r>
              <w:rPr>
                <w:rFonts w:ascii="Georgia" w:hAnsi="Georgia" w:cs="Courier New"/>
                <w:color w:val="808080"/>
                <w:sz w:val="16"/>
                <w:szCs w:val="16"/>
              </w:rPr>
              <w:t xml:space="preserve">11 - </w:t>
            </w:r>
            <w:r w:rsidRPr="00C06E62">
              <w:rPr>
                <w:rFonts w:ascii="Georgia" w:hAnsi="Georgia" w:cs="Courier New"/>
                <w:color w:val="808080"/>
                <w:sz w:val="16"/>
                <w:szCs w:val="16"/>
              </w:rPr>
              <w:t xml:space="preserve">asia.nikkei.com/Politics-Economy/Economy/China-s-December-factory-PMI-dips-to-51.6-hitting-forecasts </w:t>
            </w:r>
            <w:r>
              <w:rPr>
                <w:rFonts w:ascii="Georgia" w:hAnsi="Georgia" w:cs="Courier New"/>
                <w:color w:val="808080"/>
                <w:sz w:val="16"/>
                <w:szCs w:val="16"/>
              </w:rPr>
              <w:t>[</w:t>
            </w:r>
            <w:r>
              <w:rPr>
                <w:rFonts w:ascii="Georgia" w:hAnsi="Georgia" w:cs="Courier New"/>
                <w:color w:val="808080"/>
                <w:sz w:val="16"/>
                <w:szCs w:val="16"/>
              </w:rPr>
              <w:t>12/</w:t>
            </w:r>
            <w:r>
              <w:rPr>
                <w:rFonts w:ascii="Georgia" w:hAnsi="Georgia" w:cs="Courier New"/>
                <w:color w:val="808080"/>
                <w:sz w:val="16"/>
                <w:szCs w:val="16"/>
              </w:rPr>
              <w:t>31</w:t>
            </w:r>
            <w:r>
              <w:rPr>
                <w:rFonts w:ascii="Georgia" w:hAnsi="Georgia" w:cs="Courier New"/>
                <w:color w:val="808080"/>
                <w:sz w:val="16"/>
                <w:szCs w:val="16"/>
              </w:rPr>
              <w:t>/17]</w:t>
            </w:r>
          </w:p>
          <w:p w:rsidR="00C0142E" w:rsidRDefault="00694929" w:rsidP="005D4165">
            <w:pPr>
              <w:pStyle w:val="PlainText"/>
              <w:rPr>
                <w:rFonts w:ascii="Georgia" w:hAnsi="Georgia" w:cs="Courier New"/>
                <w:color w:val="808080"/>
                <w:sz w:val="16"/>
                <w:szCs w:val="16"/>
              </w:rPr>
            </w:pPr>
            <w:r>
              <w:rPr>
                <w:rFonts w:ascii="Georgia" w:hAnsi="Georgia" w:cs="Courier New"/>
                <w:color w:val="808080"/>
                <w:sz w:val="16"/>
                <w:szCs w:val="16"/>
              </w:rPr>
              <w:t xml:space="preserve">12 - </w:t>
            </w:r>
            <w:r w:rsidRPr="00A43228">
              <w:rPr>
                <w:rFonts w:ascii="Georgia" w:hAnsi="Georgia" w:cs="Courier New"/>
                <w:color w:val="808080"/>
                <w:sz w:val="16"/>
                <w:szCs w:val="16"/>
              </w:rPr>
              <w:t>bbc.com/news/world-asia-india-42510563</w:t>
            </w:r>
            <w:r>
              <w:rPr>
                <w:rFonts w:ascii="Georgia" w:hAnsi="Georgia" w:cs="Courier New"/>
                <w:color w:val="808080"/>
                <w:sz w:val="16"/>
                <w:szCs w:val="16"/>
              </w:rPr>
              <w:t xml:space="preserve"> [12/30/17]</w:t>
            </w:r>
          </w:p>
          <w:p w:rsidR="00C0142E" w:rsidRDefault="00694929" w:rsidP="00C0142E">
            <w:pPr>
              <w:widowControl w:val="0"/>
              <w:autoSpaceDE w:val="0"/>
              <w:autoSpaceDN w:val="0"/>
              <w:adjustRightInd w:val="0"/>
              <w:rPr>
                <w:rFonts w:ascii="Georgia" w:hAnsi="Georgia"/>
                <w:color w:val="808080"/>
                <w:sz w:val="16"/>
              </w:rPr>
            </w:pPr>
            <w:r>
              <w:rPr>
                <w:rFonts w:ascii="Georgia" w:hAnsi="Georgia"/>
                <w:color w:val="808080"/>
                <w:sz w:val="16"/>
              </w:rPr>
              <w:t>13</w:t>
            </w:r>
            <w:r w:rsidRPr="006C5296">
              <w:rPr>
                <w:rFonts w:ascii="Georgia" w:hAnsi="Georgia"/>
                <w:color w:val="808080"/>
                <w:sz w:val="16"/>
                <w:szCs w:val="16"/>
              </w:rPr>
              <w:t xml:space="preserve"> </w:t>
            </w:r>
            <w:r w:rsidRPr="006C5296">
              <w:rPr>
                <w:rFonts w:ascii="Georgia" w:hAnsi="Georgia"/>
                <w:color w:val="808080"/>
                <w:sz w:val="16"/>
              </w:rPr>
              <w:t xml:space="preserve">- </w:t>
            </w:r>
            <w:r w:rsidRPr="00E80EEF">
              <w:rPr>
                <w:rFonts w:ascii="Georgia" w:hAnsi="Georgia"/>
                <w:color w:val="808080"/>
                <w:sz w:val="16"/>
              </w:rPr>
              <w:t>msci.com/end-of-day-data-search</w:t>
            </w:r>
            <w:r w:rsidRPr="006C5296">
              <w:rPr>
                <w:rFonts w:ascii="Georgia" w:hAnsi="Georgia"/>
                <w:color w:val="808080"/>
                <w:sz w:val="16"/>
              </w:rPr>
              <w:t xml:space="preserve"> [</w:t>
            </w:r>
            <w:r>
              <w:rPr>
                <w:rFonts w:ascii="Georgia" w:hAnsi="Georgia"/>
                <w:color w:val="808080"/>
                <w:sz w:val="16"/>
              </w:rPr>
              <w:t>12/29/17</w:t>
            </w:r>
            <w:r w:rsidRPr="006C5296">
              <w:rPr>
                <w:rFonts w:ascii="Georgia" w:hAnsi="Georgia"/>
                <w:color w:val="808080"/>
                <w:sz w:val="16"/>
              </w:rPr>
              <w:t>]</w:t>
            </w:r>
          </w:p>
          <w:p w:rsidR="00ED731B" w:rsidRPr="00244CBC" w:rsidRDefault="00694929" w:rsidP="00244CBC">
            <w:pPr>
              <w:pStyle w:val="PlainText"/>
              <w:rPr>
                <w:rFonts w:ascii="Georgia" w:hAnsi="Georgia" w:cs="Courier New"/>
                <w:color w:val="808080"/>
                <w:sz w:val="16"/>
                <w:szCs w:val="16"/>
              </w:rPr>
            </w:pPr>
            <w:r>
              <w:rPr>
                <w:rFonts w:ascii="Georgia" w:hAnsi="Georgia" w:cs="Courier New"/>
                <w:color w:val="808080"/>
                <w:sz w:val="16"/>
                <w:szCs w:val="16"/>
              </w:rPr>
              <w:t>14</w:t>
            </w:r>
            <w:r w:rsidRPr="00FA04D3">
              <w:rPr>
                <w:rFonts w:ascii="Georgia" w:hAnsi="Georgia" w:cs="Courier New"/>
                <w:color w:val="808080"/>
                <w:sz w:val="16"/>
                <w:szCs w:val="16"/>
              </w:rPr>
              <w:t xml:space="preserve"> - markets.on.nytimes.com/research/markets/worldmarkets/worldmarkets.asp [</w:t>
            </w:r>
            <w:r>
              <w:rPr>
                <w:rFonts w:ascii="Georgia" w:hAnsi="Georgia" w:cs="Courier New"/>
                <w:color w:val="808080"/>
                <w:sz w:val="16"/>
                <w:szCs w:val="16"/>
              </w:rPr>
              <w:t>12/29</w:t>
            </w:r>
            <w:r>
              <w:rPr>
                <w:rFonts w:ascii="Georgia" w:hAnsi="Georgia" w:cs="Courier New"/>
                <w:color w:val="808080"/>
                <w:sz w:val="16"/>
                <w:szCs w:val="16"/>
              </w:rPr>
              <w:t>/17</w:t>
            </w:r>
            <w:r w:rsidRPr="00FA04D3">
              <w:rPr>
                <w:rFonts w:ascii="Georgia" w:hAnsi="Georgia" w:cs="Courier New"/>
                <w:color w:val="808080"/>
                <w:sz w:val="16"/>
                <w:szCs w:val="16"/>
              </w:rPr>
              <w:t>]</w:t>
            </w:r>
          </w:p>
          <w:p w:rsidR="00CE2539" w:rsidRDefault="00694929" w:rsidP="00CE2539">
            <w:pPr>
              <w:rPr>
                <w:rFonts w:ascii="Georgia" w:hAnsi="Georgia"/>
                <w:color w:val="808080"/>
                <w:sz w:val="16"/>
                <w:szCs w:val="16"/>
              </w:rPr>
            </w:pPr>
            <w:r>
              <w:rPr>
                <w:rFonts w:ascii="Georgia" w:hAnsi="Georgia"/>
                <w:color w:val="808080"/>
                <w:sz w:val="16"/>
                <w:szCs w:val="16"/>
              </w:rPr>
              <w:t xml:space="preserve">15 - </w:t>
            </w:r>
            <w:r w:rsidRPr="009F2936">
              <w:rPr>
                <w:rFonts w:ascii="Georgia" w:hAnsi="Georgia"/>
                <w:color w:val="808080"/>
                <w:sz w:val="16"/>
                <w:szCs w:val="16"/>
              </w:rPr>
              <w:t>tinyurl.com/y7f355aq</w:t>
            </w:r>
            <w:r w:rsidRPr="00CE2539">
              <w:rPr>
                <w:rFonts w:ascii="Georgia" w:hAnsi="Georgia"/>
                <w:color w:val="808080"/>
                <w:sz w:val="16"/>
                <w:szCs w:val="16"/>
              </w:rPr>
              <w:t xml:space="preserve"> </w:t>
            </w:r>
            <w:r>
              <w:rPr>
                <w:rFonts w:ascii="Georgia" w:hAnsi="Georgia"/>
                <w:color w:val="808080"/>
                <w:sz w:val="16"/>
                <w:szCs w:val="16"/>
              </w:rPr>
              <w:t>[12/31/17]</w:t>
            </w:r>
          </w:p>
          <w:p w:rsidR="00F63A60" w:rsidRDefault="00694929" w:rsidP="005D4165">
            <w:pPr>
              <w:rPr>
                <w:rFonts w:ascii="Georgia" w:hAnsi="Georgia"/>
                <w:color w:val="808080"/>
                <w:sz w:val="16"/>
                <w:szCs w:val="16"/>
              </w:rPr>
            </w:pPr>
            <w:r>
              <w:rPr>
                <w:rFonts w:ascii="Georgia" w:hAnsi="Georgia"/>
                <w:color w:val="808080"/>
                <w:sz w:val="16"/>
                <w:szCs w:val="16"/>
              </w:rPr>
              <w:t>1</w:t>
            </w:r>
            <w:r>
              <w:rPr>
                <w:rFonts w:ascii="Georgia" w:hAnsi="Georgia"/>
                <w:color w:val="808080"/>
                <w:sz w:val="16"/>
                <w:szCs w:val="16"/>
              </w:rPr>
              <w:t>6</w:t>
            </w:r>
            <w:r>
              <w:rPr>
                <w:rFonts w:ascii="Georgia" w:hAnsi="Georgia"/>
                <w:color w:val="808080"/>
                <w:sz w:val="16"/>
                <w:szCs w:val="16"/>
              </w:rPr>
              <w:t xml:space="preserve"> - </w:t>
            </w:r>
            <w:r w:rsidRPr="00F63A60">
              <w:rPr>
                <w:rFonts w:ascii="Georgia" w:hAnsi="Georgia"/>
                <w:color w:val="808080"/>
                <w:sz w:val="16"/>
                <w:szCs w:val="16"/>
              </w:rPr>
              <w:t>marketwatch.com/investing/index/dxy/historical</w:t>
            </w:r>
            <w:r>
              <w:rPr>
                <w:rFonts w:ascii="Georgia" w:hAnsi="Georgia"/>
                <w:color w:val="808080"/>
                <w:sz w:val="16"/>
                <w:szCs w:val="16"/>
              </w:rPr>
              <w:t xml:space="preserve"> [12/</w:t>
            </w:r>
            <w:r>
              <w:rPr>
                <w:rFonts w:ascii="Georgia" w:hAnsi="Georgia"/>
                <w:color w:val="808080"/>
                <w:sz w:val="16"/>
                <w:szCs w:val="16"/>
              </w:rPr>
              <w:t>29</w:t>
            </w:r>
            <w:r>
              <w:rPr>
                <w:rFonts w:ascii="Georgia" w:hAnsi="Georgia"/>
                <w:color w:val="808080"/>
                <w:sz w:val="16"/>
                <w:szCs w:val="16"/>
              </w:rPr>
              <w:t>/17]</w:t>
            </w:r>
          </w:p>
          <w:p w:rsidR="00CE2539" w:rsidRDefault="00694929" w:rsidP="00CE2539">
            <w:pPr>
              <w:rPr>
                <w:rFonts w:ascii="Georgia" w:hAnsi="Georgia" w:cs="Arial"/>
                <w:color w:val="808080"/>
                <w:sz w:val="16"/>
              </w:rPr>
            </w:pPr>
            <w:r>
              <w:rPr>
                <w:rFonts w:ascii="Georgia" w:hAnsi="Georgia" w:cs="Arial"/>
                <w:color w:val="808080"/>
                <w:sz w:val="16"/>
              </w:rPr>
              <w:t>17</w:t>
            </w:r>
            <w:r w:rsidRPr="006C5296">
              <w:rPr>
                <w:rFonts w:ascii="Georgia" w:hAnsi="Georgia" w:cs="Arial"/>
                <w:color w:val="808080"/>
                <w:sz w:val="16"/>
              </w:rPr>
              <w:t xml:space="preserve"> - money.cnn.com/data/com</w:t>
            </w:r>
            <w:r>
              <w:rPr>
                <w:rFonts w:ascii="Georgia" w:hAnsi="Georgia" w:cs="Arial"/>
                <w:color w:val="808080"/>
                <w:sz w:val="16"/>
              </w:rPr>
              <w:t>modities/ [12/29/17</w:t>
            </w:r>
            <w:r w:rsidRPr="00DB4FF7">
              <w:rPr>
                <w:rFonts w:ascii="Georgia" w:hAnsi="Georgia" w:cs="Arial"/>
                <w:color w:val="808080"/>
                <w:sz w:val="16"/>
              </w:rPr>
              <w:t>]</w:t>
            </w:r>
            <w:r>
              <w:rPr>
                <w:rFonts w:ascii="Georgia" w:hAnsi="Georgia" w:cs="Arial"/>
                <w:color w:val="808080"/>
                <w:sz w:val="16"/>
              </w:rPr>
              <w:t xml:space="preserve"> </w:t>
            </w:r>
          </w:p>
          <w:p w:rsidR="00FE7013" w:rsidRDefault="00694929" w:rsidP="005D4165">
            <w:pPr>
              <w:rPr>
                <w:rFonts w:ascii="Georgia" w:hAnsi="Georgia"/>
                <w:color w:val="808080"/>
                <w:sz w:val="16"/>
                <w:szCs w:val="16"/>
              </w:rPr>
            </w:pPr>
            <w:r>
              <w:rPr>
                <w:rFonts w:ascii="Georgia" w:hAnsi="Georgia"/>
                <w:color w:val="808080"/>
                <w:sz w:val="16"/>
                <w:szCs w:val="16"/>
              </w:rPr>
              <w:t>1</w:t>
            </w:r>
            <w:r>
              <w:rPr>
                <w:rFonts w:ascii="Georgia" w:hAnsi="Georgia"/>
                <w:color w:val="808080"/>
                <w:sz w:val="16"/>
                <w:szCs w:val="16"/>
              </w:rPr>
              <w:t>8</w:t>
            </w:r>
            <w:r>
              <w:rPr>
                <w:rFonts w:ascii="Georgia" w:hAnsi="Georgia"/>
                <w:color w:val="808080"/>
                <w:sz w:val="16"/>
                <w:szCs w:val="16"/>
              </w:rPr>
              <w:t xml:space="preserve"> </w:t>
            </w:r>
            <w:r>
              <w:rPr>
                <w:rFonts w:ascii="Georgia" w:hAnsi="Georgia"/>
                <w:color w:val="808080"/>
                <w:sz w:val="16"/>
                <w:szCs w:val="16"/>
              </w:rPr>
              <w:t>-</w:t>
            </w:r>
            <w:r>
              <w:rPr>
                <w:rFonts w:ascii="Georgia" w:hAnsi="Georgia"/>
                <w:color w:val="808080"/>
                <w:sz w:val="16"/>
                <w:szCs w:val="16"/>
              </w:rPr>
              <w:t xml:space="preserve"> </w:t>
            </w:r>
            <w:r w:rsidRPr="00B90CA5">
              <w:rPr>
                <w:rFonts w:ascii="Georgia" w:hAnsi="Georgia"/>
                <w:color w:val="808080"/>
                <w:sz w:val="16"/>
                <w:szCs w:val="16"/>
              </w:rPr>
              <w:t xml:space="preserve">quickenloans.com/blog/mostly-cheery-economic-week-market-update </w:t>
            </w:r>
            <w:r>
              <w:rPr>
                <w:rFonts w:ascii="Georgia" w:hAnsi="Georgia"/>
                <w:color w:val="808080"/>
                <w:sz w:val="16"/>
                <w:szCs w:val="16"/>
              </w:rPr>
              <w:t>[1</w:t>
            </w:r>
            <w:r>
              <w:rPr>
                <w:rFonts w:ascii="Georgia" w:hAnsi="Georgia"/>
                <w:color w:val="808080"/>
                <w:sz w:val="16"/>
                <w:szCs w:val="16"/>
              </w:rPr>
              <w:t>2</w:t>
            </w:r>
            <w:r>
              <w:rPr>
                <w:rFonts w:ascii="Georgia" w:hAnsi="Georgia"/>
                <w:color w:val="808080"/>
                <w:sz w:val="16"/>
                <w:szCs w:val="16"/>
              </w:rPr>
              <w:t>/2</w:t>
            </w:r>
            <w:r>
              <w:rPr>
                <w:rFonts w:ascii="Georgia" w:hAnsi="Georgia"/>
                <w:color w:val="808080"/>
                <w:sz w:val="16"/>
                <w:szCs w:val="16"/>
              </w:rPr>
              <w:t>6</w:t>
            </w:r>
            <w:r>
              <w:rPr>
                <w:rFonts w:ascii="Georgia" w:hAnsi="Georgia"/>
                <w:color w:val="808080"/>
                <w:sz w:val="16"/>
                <w:szCs w:val="16"/>
              </w:rPr>
              <w:t>/17]</w:t>
            </w:r>
          </w:p>
          <w:p w:rsidR="00245D8E" w:rsidRDefault="00694929" w:rsidP="005D4165">
            <w:pPr>
              <w:rPr>
                <w:rFonts w:ascii="Georgia" w:hAnsi="Georgia"/>
                <w:color w:val="808080"/>
                <w:sz w:val="16"/>
                <w:szCs w:val="16"/>
              </w:rPr>
            </w:pPr>
            <w:r>
              <w:rPr>
                <w:rFonts w:ascii="Georgia" w:hAnsi="Georgia"/>
                <w:color w:val="808080"/>
                <w:sz w:val="16"/>
                <w:szCs w:val="16"/>
              </w:rPr>
              <w:t>1</w:t>
            </w:r>
            <w:r>
              <w:rPr>
                <w:rFonts w:ascii="Georgia" w:hAnsi="Georgia"/>
                <w:color w:val="808080"/>
                <w:sz w:val="16"/>
                <w:szCs w:val="16"/>
              </w:rPr>
              <w:t>9</w:t>
            </w:r>
            <w:r>
              <w:rPr>
                <w:rFonts w:ascii="Georgia" w:hAnsi="Georgia"/>
                <w:color w:val="808080"/>
                <w:sz w:val="16"/>
                <w:szCs w:val="16"/>
              </w:rPr>
              <w:t xml:space="preserve"> - </w:t>
            </w:r>
            <w:r w:rsidRPr="00E15F67">
              <w:rPr>
                <w:rFonts w:ascii="Georgia" w:hAnsi="Georgia"/>
                <w:color w:val="808080"/>
                <w:sz w:val="16"/>
                <w:szCs w:val="16"/>
              </w:rPr>
              <w:t xml:space="preserve">freddiemac.com/pmms/archive.html?year=2017 </w:t>
            </w:r>
            <w:r>
              <w:rPr>
                <w:rFonts w:ascii="Georgia" w:hAnsi="Georgia"/>
                <w:color w:val="808080"/>
                <w:sz w:val="16"/>
                <w:szCs w:val="16"/>
              </w:rPr>
              <w:t>[</w:t>
            </w:r>
            <w:r>
              <w:rPr>
                <w:rFonts w:ascii="Georgia" w:hAnsi="Georgia"/>
                <w:color w:val="808080"/>
                <w:sz w:val="16"/>
                <w:szCs w:val="16"/>
              </w:rPr>
              <w:t>12/29</w:t>
            </w:r>
            <w:r>
              <w:rPr>
                <w:rFonts w:ascii="Georgia" w:hAnsi="Georgia"/>
                <w:color w:val="808080"/>
                <w:sz w:val="16"/>
                <w:szCs w:val="16"/>
              </w:rPr>
              <w:t>/17]</w:t>
            </w:r>
          </w:p>
          <w:p w:rsidR="006A6E2B" w:rsidRPr="006A6E2B" w:rsidRDefault="00694929" w:rsidP="006A6E2B">
            <w:pPr>
              <w:rPr>
                <w:rFonts w:ascii="Georgia" w:hAnsi="Georgia" w:cs="Calibri"/>
                <w:color w:val="808080" w:themeColor="background1" w:themeShade="80"/>
                <w:sz w:val="16"/>
                <w:szCs w:val="16"/>
              </w:rPr>
            </w:pPr>
            <w:r>
              <w:rPr>
                <w:rFonts w:ascii="Georgia" w:hAnsi="Georgia" w:cs="Calibri"/>
                <w:color w:val="808080" w:themeColor="background1" w:themeShade="80"/>
                <w:sz w:val="16"/>
                <w:szCs w:val="16"/>
              </w:rPr>
              <w:t xml:space="preserve">20 - </w:t>
            </w:r>
            <w:r w:rsidRPr="006A6E2B">
              <w:rPr>
                <w:rFonts w:ascii="Georgia" w:hAnsi="Georgia" w:cs="Calibri"/>
                <w:color w:val="808080" w:themeColor="background1" w:themeShade="80"/>
                <w:sz w:val="16"/>
                <w:szCs w:val="16"/>
              </w:rPr>
              <w:t>finance.google.com/finance?q=INDEXDJX%3A.DJI&amp;ei=sM5GWunuMYPE2Ab8xo-YDg</w:t>
            </w:r>
            <w:r>
              <w:rPr>
                <w:rFonts w:ascii="Georgia" w:hAnsi="Georgia" w:cs="Calibri"/>
                <w:color w:val="808080" w:themeColor="background1" w:themeShade="80"/>
                <w:sz w:val="16"/>
                <w:szCs w:val="16"/>
              </w:rPr>
              <w:t xml:space="preserve"> </w:t>
            </w:r>
            <w:r>
              <w:rPr>
                <w:rFonts w:ascii="Georgia" w:hAnsi="Georgia" w:cs="Calibri"/>
                <w:color w:val="808080" w:themeColor="background1" w:themeShade="80"/>
                <w:sz w:val="16"/>
                <w:szCs w:val="18"/>
              </w:rPr>
              <w:t>[12/29/17]</w:t>
            </w:r>
            <w:r w:rsidRPr="006A6E2B">
              <w:rPr>
                <w:rFonts w:ascii="Georgia" w:hAnsi="Georgia" w:cs="Calibri"/>
                <w:color w:val="808080" w:themeColor="background1" w:themeShade="80"/>
                <w:sz w:val="16"/>
                <w:szCs w:val="16"/>
              </w:rPr>
              <w:t xml:space="preserve"> </w:t>
            </w:r>
          </w:p>
          <w:p w:rsidR="00937B77" w:rsidRDefault="00694929" w:rsidP="00937B77">
            <w:pPr>
              <w:rPr>
                <w:rFonts w:ascii="Georgia" w:hAnsi="Georgia" w:cs="Arial"/>
                <w:color w:val="808080"/>
                <w:sz w:val="16"/>
              </w:rPr>
            </w:pPr>
            <w:r>
              <w:rPr>
                <w:rFonts w:ascii="Georgia" w:hAnsi="Georgia" w:cs="Arial"/>
                <w:color w:val="808080"/>
                <w:sz w:val="16"/>
              </w:rPr>
              <w:t xml:space="preserve">21 </w:t>
            </w:r>
            <w:r>
              <w:rPr>
                <w:rFonts w:ascii="Georgia" w:hAnsi="Georgia" w:cs="Arial"/>
                <w:color w:val="808080"/>
                <w:sz w:val="16"/>
              </w:rPr>
              <w:t xml:space="preserve">- </w:t>
            </w:r>
            <w:r w:rsidRPr="005A2A29">
              <w:rPr>
                <w:rFonts w:ascii="Georgia" w:hAnsi="Georgia" w:cs="Arial"/>
                <w:color w:val="808080"/>
                <w:sz w:val="16"/>
              </w:rPr>
              <w:t xml:space="preserve">markets.wsj.com/us </w:t>
            </w:r>
            <w:r>
              <w:rPr>
                <w:rFonts w:ascii="Georgia" w:hAnsi="Georgia" w:cs="Arial"/>
                <w:color w:val="808080"/>
                <w:sz w:val="16"/>
              </w:rPr>
              <w:t>[</w:t>
            </w:r>
            <w:r>
              <w:rPr>
                <w:rFonts w:ascii="Georgia" w:hAnsi="Georgia" w:cs="Arial"/>
                <w:color w:val="808080"/>
                <w:sz w:val="16"/>
              </w:rPr>
              <w:t>12/29</w:t>
            </w:r>
            <w:r>
              <w:rPr>
                <w:rFonts w:ascii="Georgia" w:hAnsi="Georgia" w:cs="Arial"/>
                <w:color w:val="808080"/>
                <w:sz w:val="16"/>
              </w:rPr>
              <w:t>/17]</w:t>
            </w:r>
          </w:p>
          <w:p w:rsidR="00B5629E" w:rsidRPr="0074762D" w:rsidRDefault="00694929" w:rsidP="00B5629E">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w:t>
            </w:r>
            <w:r>
              <w:rPr>
                <w:rFonts w:ascii="Georgia" w:hAnsi="Georgia" w:cs="Arial"/>
                <w:color w:val="808080"/>
                <w:sz w:val="16"/>
              </w:rPr>
              <w:t>/historical/default.asp?symb=DJIA</w:t>
            </w:r>
            <w:r w:rsidRPr="004969F2">
              <w:rPr>
                <w:rFonts w:ascii="Georgia" w:hAnsi="Georgia" w:cs="Arial"/>
                <w:color w:val="808080"/>
                <w:sz w:val="16"/>
              </w:rPr>
              <w:t>&amp;closeDate=</w:t>
            </w:r>
            <w:r>
              <w:rPr>
                <w:rFonts w:ascii="Georgia" w:hAnsi="Georgia" w:cs="Arial"/>
                <w:color w:val="808080"/>
                <w:sz w:val="16"/>
              </w:rPr>
              <w:t>12%2F29%</w:t>
            </w:r>
            <w:r w:rsidRPr="004969F2">
              <w:rPr>
                <w:rFonts w:ascii="Georgia" w:hAnsi="Georgia" w:cs="Arial"/>
                <w:color w:val="808080"/>
                <w:sz w:val="16"/>
              </w:rPr>
              <w:t>2F16&amp;x=0&amp;y=0</w:t>
            </w:r>
            <w:r w:rsidRPr="0074762D">
              <w:rPr>
                <w:rFonts w:ascii="Georgia" w:hAnsi="Georgia" w:cs="Arial"/>
                <w:color w:val="808080"/>
                <w:sz w:val="16"/>
              </w:rPr>
              <w:t xml:space="preserve"> [</w:t>
            </w:r>
            <w:r>
              <w:rPr>
                <w:rFonts w:ascii="Georgia" w:hAnsi="Georgia" w:cs="Arial"/>
                <w:color w:val="808080"/>
                <w:sz w:val="16"/>
              </w:rPr>
              <w:t>12/29/17</w:t>
            </w:r>
            <w:r w:rsidRPr="0074762D">
              <w:rPr>
                <w:rFonts w:ascii="Georgia" w:hAnsi="Georgia" w:cs="Arial"/>
                <w:color w:val="808080"/>
                <w:sz w:val="16"/>
              </w:rPr>
              <w:t>]</w:t>
            </w:r>
          </w:p>
          <w:p w:rsidR="00B5629E" w:rsidRPr="00773AF4" w:rsidRDefault="00694929" w:rsidP="00B5629E">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w:t>
            </w:r>
            <w:r>
              <w:rPr>
                <w:rFonts w:ascii="Georgia" w:hAnsi="Georgia" w:cs="Arial"/>
                <w:color w:val="808080"/>
                <w:sz w:val="16"/>
              </w:rPr>
              <w:t>/historical/default.asp?symb=COMP</w:t>
            </w:r>
            <w:r w:rsidRPr="004969F2">
              <w:rPr>
                <w:rFonts w:ascii="Georgia" w:hAnsi="Georgia" w:cs="Arial"/>
                <w:color w:val="808080"/>
                <w:sz w:val="16"/>
              </w:rPr>
              <w:t>&amp;closeDate=</w:t>
            </w:r>
            <w:r>
              <w:rPr>
                <w:rFonts w:ascii="Georgia" w:hAnsi="Georgia" w:cs="Arial"/>
                <w:color w:val="808080"/>
                <w:sz w:val="16"/>
              </w:rPr>
              <w:t>12%2F29%</w:t>
            </w:r>
            <w:r w:rsidRPr="004969F2">
              <w:rPr>
                <w:rFonts w:ascii="Georgia" w:hAnsi="Georgia" w:cs="Arial"/>
                <w:color w:val="808080"/>
                <w:sz w:val="16"/>
              </w:rPr>
              <w:t>2F16&amp;x=0&amp;y=0</w:t>
            </w:r>
            <w:r w:rsidRPr="0074762D">
              <w:rPr>
                <w:rFonts w:ascii="Georgia" w:hAnsi="Georgia" w:cs="Arial"/>
                <w:color w:val="808080"/>
                <w:sz w:val="16"/>
              </w:rPr>
              <w:t xml:space="preserve"> [</w:t>
            </w:r>
            <w:r>
              <w:rPr>
                <w:rFonts w:ascii="Georgia" w:hAnsi="Georgia" w:cs="Arial"/>
                <w:color w:val="808080"/>
                <w:sz w:val="16"/>
              </w:rPr>
              <w:t>12/29/17</w:t>
            </w:r>
            <w:r w:rsidRPr="0074762D">
              <w:rPr>
                <w:rFonts w:ascii="Georgia" w:hAnsi="Georgia" w:cs="Arial"/>
                <w:color w:val="808080"/>
                <w:sz w:val="16"/>
              </w:rPr>
              <w:t>]</w:t>
            </w:r>
          </w:p>
          <w:p w:rsidR="00B5629E" w:rsidRDefault="00694929" w:rsidP="00B5629E">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arketwatch.com/historical/default.asp?symb=SPX&amp;closeDate=</w:t>
            </w:r>
            <w:r>
              <w:rPr>
                <w:rFonts w:ascii="Georgia" w:hAnsi="Georgia" w:cs="Arial"/>
                <w:color w:val="808080"/>
                <w:sz w:val="16"/>
              </w:rPr>
              <w:t>12%2F29%</w:t>
            </w:r>
            <w:r w:rsidRPr="004969F2">
              <w:rPr>
                <w:rFonts w:ascii="Georgia" w:hAnsi="Georgia" w:cs="Arial"/>
                <w:color w:val="808080"/>
                <w:sz w:val="16"/>
              </w:rPr>
              <w:t xml:space="preserve">2F16&amp;x=0&amp;y=0 </w:t>
            </w:r>
            <w:r w:rsidRPr="0074762D">
              <w:rPr>
                <w:rFonts w:ascii="Georgia" w:hAnsi="Georgia" w:cs="Arial"/>
                <w:color w:val="808080"/>
                <w:sz w:val="16"/>
              </w:rPr>
              <w:t>[</w:t>
            </w:r>
            <w:r>
              <w:rPr>
                <w:rFonts w:ascii="Georgia" w:hAnsi="Georgia" w:cs="Arial"/>
                <w:color w:val="808080"/>
                <w:sz w:val="16"/>
              </w:rPr>
              <w:t>12/29/17</w:t>
            </w:r>
            <w:r w:rsidRPr="0074762D">
              <w:rPr>
                <w:rFonts w:ascii="Georgia" w:hAnsi="Georgia" w:cs="Arial"/>
                <w:color w:val="808080"/>
                <w:sz w:val="16"/>
              </w:rPr>
              <w:t>]</w:t>
            </w:r>
          </w:p>
          <w:p w:rsidR="00B5629E" w:rsidRPr="0074762D" w:rsidRDefault="00694929" w:rsidP="00B5629E">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arketwatch.com/historical/default.asp?symb=</w:t>
            </w:r>
            <w:r>
              <w:rPr>
                <w:rFonts w:ascii="Georgia" w:hAnsi="Georgia" w:cs="Arial"/>
                <w:color w:val="808080"/>
                <w:sz w:val="16"/>
              </w:rPr>
              <w:t>DJIA</w:t>
            </w:r>
            <w:r w:rsidRPr="004969F2">
              <w:rPr>
                <w:rFonts w:ascii="Georgia" w:hAnsi="Georgia" w:cs="Arial"/>
                <w:color w:val="808080"/>
                <w:sz w:val="16"/>
              </w:rPr>
              <w:t>&amp;closeDate=</w:t>
            </w:r>
            <w:r>
              <w:rPr>
                <w:rFonts w:ascii="Georgia" w:hAnsi="Georgia" w:cs="Arial"/>
                <w:color w:val="808080"/>
                <w:sz w:val="16"/>
              </w:rPr>
              <w:t>1</w:t>
            </w:r>
            <w:r>
              <w:rPr>
                <w:rFonts w:ascii="Georgia" w:hAnsi="Georgia" w:cs="Arial"/>
                <w:color w:val="808080"/>
                <w:sz w:val="16"/>
              </w:rPr>
              <w:t>2%2F28%</w:t>
            </w:r>
            <w:r w:rsidRPr="004969F2">
              <w:rPr>
                <w:rFonts w:ascii="Georgia" w:hAnsi="Georgia" w:cs="Arial"/>
                <w:color w:val="808080"/>
                <w:sz w:val="16"/>
              </w:rPr>
              <w:t>2F12&amp;x=0&amp;y=0</w:t>
            </w:r>
            <w:r w:rsidRPr="0074762D">
              <w:rPr>
                <w:rFonts w:ascii="Georgia" w:hAnsi="Georgia" w:cs="Arial"/>
                <w:color w:val="808080"/>
                <w:sz w:val="16"/>
              </w:rPr>
              <w:t xml:space="preserve"> [</w:t>
            </w:r>
            <w:r>
              <w:rPr>
                <w:rFonts w:ascii="Georgia" w:hAnsi="Georgia" w:cs="Arial"/>
                <w:color w:val="808080"/>
                <w:sz w:val="16"/>
              </w:rPr>
              <w:t>12/29/17</w:t>
            </w:r>
            <w:r w:rsidRPr="0074762D">
              <w:rPr>
                <w:rFonts w:ascii="Georgia" w:hAnsi="Georgia" w:cs="Arial"/>
                <w:color w:val="808080"/>
                <w:sz w:val="16"/>
              </w:rPr>
              <w:t>]</w:t>
            </w:r>
          </w:p>
          <w:p w:rsidR="00B5629E" w:rsidRPr="0074762D" w:rsidRDefault="00694929" w:rsidP="00B5629E">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arketwatch.com/historical/default.asp?symb=</w:t>
            </w:r>
            <w:r>
              <w:rPr>
                <w:rFonts w:ascii="Georgia" w:hAnsi="Georgia" w:cs="Arial"/>
                <w:color w:val="808080"/>
                <w:sz w:val="16"/>
              </w:rPr>
              <w:t>COMP</w:t>
            </w:r>
            <w:r w:rsidRPr="004969F2">
              <w:rPr>
                <w:rFonts w:ascii="Georgia" w:hAnsi="Georgia" w:cs="Arial"/>
                <w:color w:val="808080"/>
                <w:sz w:val="16"/>
              </w:rPr>
              <w:t>&amp;closeDate=</w:t>
            </w:r>
            <w:r>
              <w:rPr>
                <w:rFonts w:ascii="Georgia" w:hAnsi="Georgia" w:cs="Arial"/>
                <w:color w:val="808080"/>
                <w:sz w:val="16"/>
              </w:rPr>
              <w:t>12%2F28%</w:t>
            </w:r>
            <w:r w:rsidRPr="004969F2">
              <w:rPr>
                <w:rFonts w:ascii="Georgia" w:hAnsi="Georgia" w:cs="Arial"/>
                <w:color w:val="808080"/>
                <w:sz w:val="16"/>
              </w:rPr>
              <w:t>2F12&amp;x=0&amp;y=0</w:t>
            </w:r>
            <w:r w:rsidRPr="0074762D">
              <w:rPr>
                <w:rFonts w:ascii="Georgia" w:hAnsi="Georgia" w:cs="Arial"/>
                <w:color w:val="808080"/>
                <w:sz w:val="16"/>
              </w:rPr>
              <w:t xml:space="preserve"> [</w:t>
            </w:r>
            <w:r>
              <w:rPr>
                <w:rFonts w:ascii="Georgia" w:hAnsi="Georgia" w:cs="Arial"/>
                <w:color w:val="808080"/>
                <w:sz w:val="16"/>
              </w:rPr>
              <w:t>12/29/17</w:t>
            </w:r>
            <w:r w:rsidRPr="0074762D">
              <w:rPr>
                <w:rFonts w:ascii="Georgia" w:hAnsi="Georgia" w:cs="Arial"/>
                <w:color w:val="808080"/>
                <w:sz w:val="16"/>
              </w:rPr>
              <w:t>]</w:t>
            </w:r>
          </w:p>
          <w:p w:rsidR="00B5629E" w:rsidRDefault="00694929" w:rsidP="00B5629E">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arketwatch.com/historical/default.asp?symb=SPX&amp;closeDate=</w:t>
            </w:r>
            <w:r>
              <w:rPr>
                <w:rFonts w:ascii="Georgia" w:hAnsi="Georgia" w:cs="Arial"/>
                <w:color w:val="808080"/>
                <w:sz w:val="16"/>
              </w:rPr>
              <w:t>12%2F28%</w:t>
            </w:r>
            <w:r w:rsidRPr="004969F2">
              <w:rPr>
                <w:rFonts w:ascii="Georgia" w:hAnsi="Georgia" w:cs="Arial"/>
                <w:color w:val="808080"/>
                <w:sz w:val="16"/>
              </w:rPr>
              <w:t xml:space="preserve">2F12&amp;x=0&amp;y=0 </w:t>
            </w:r>
            <w:r w:rsidRPr="0074762D">
              <w:rPr>
                <w:rFonts w:ascii="Georgia" w:hAnsi="Georgia" w:cs="Arial"/>
                <w:color w:val="808080"/>
                <w:sz w:val="16"/>
              </w:rPr>
              <w:t>[</w:t>
            </w:r>
            <w:r>
              <w:rPr>
                <w:rFonts w:ascii="Georgia" w:hAnsi="Georgia" w:cs="Arial"/>
                <w:color w:val="808080"/>
                <w:sz w:val="16"/>
              </w:rPr>
              <w:t>12/29/17</w:t>
            </w:r>
            <w:r w:rsidRPr="0074762D">
              <w:rPr>
                <w:rFonts w:ascii="Georgia" w:hAnsi="Georgia" w:cs="Arial"/>
                <w:color w:val="808080"/>
                <w:sz w:val="16"/>
              </w:rPr>
              <w:t>]</w:t>
            </w:r>
          </w:p>
          <w:p w:rsidR="00B5629E" w:rsidRDefault="00694929" w:rsidP="00B5629E">
            <w:pPr>
              <w:rPr>
                <w:rFonts w:ascii="Georgia" w:hAnsi="Georgia" w:cs="Arial"/>
                <w:color w:val="808080"/>
                <w:sz w:val="16"/>
              </w:rPr>
            </w:pPr>
            <w:r>
              <w:rPr>
                <w:rFonts w:ascii="Georgia" w:hAnsi="Georgia" w:cs="Arial"/>
                <w:color w:val="808080"/>
                <w:sz w:val="16"/>
              </w:rPr>
              <w:t>22 - bigcharts</w:t>
            </w:r>
            <w:r>
              <w:rPr>
                <w:rFonts w:ascii="Georgia" w:hAnsi="Georgia" w:cs="Arial"/>
                <w:color w:val="808080"/>
                <w:sz w:val="16"/>
              </w:rPr>
              <w:t>.m</w:t>
            </w:r>
            <w:r w:rsidRPr="00161A75">
              <w:rPr>
                <w:rFonts w:ascii="Georgia" w:hAnsi="Georgia" w:cs="Arial"/>
                <w:color w:val="808080"/>
                <w:sz w:val="16"/>
              </w:rPr>
              <w:t>arketwatch.com</w:t>
            </w:r>
            <w:r>
              <w:rPr>
                <w:rFonts w:ascii="Georgia" w:hAnsi="Georgia" w:cs="Arial"/>
                <w:color w:val="808080"/>
                <w:sz w:val="16"/>
              </w:rPr>
              <w:t>/historical/default.asp?symb=DJIA</w:t>
            </w:r>
            <w:r w:rsidRPr="00161A75">
              <w:rPr>
                <w:rFonts w:ascii="Georgia" w:hAnsi="Georgia" w:cs="Arial"/>
                <w:color w:val="808080"/>
                <w:sz w:val="16"/>
              </w:rPr>
              <w:t>&amp;closeDate=</w:t>
            </w:r>
            <w:r>
              <w:rPr>
                <w:rFonts w:ascii="Georgia" w:hAnsi="Georgia" w:cs="Arial"/>
                <w:color w:val="808080"/>
                <w:sz w:val="16"/>
              </w:rPr>
              <w:t>12%2F28%</w:t>
            </w:r>
            <w:r w:rsidRPr="00161A75">
              <w:rPr>
                <w:rFonts w:ascii="Georgia" w:hAnsi="Georgia" w:cs="Arial"/>
                <w:color w:val="808080"/>
                <w:sz w:val="16"/>
              </w:rPr>
              <w:t xml:space="preserve">2F07&amp;x=0&amp;y=0 </w:t>
            </w:r>
            <w:r w:rsidRPr="0074762D">
              <w:rPr>
                <w:rFonts w:ascii="Georgia" w:hAnsi="Georgia" w:cs="Arial"/>
                <w:color w:val="808080"/>
                <w:sz w:val="16"/>
              </w:rPr>
              <w:t>[</w:t>
            </w:r>
            <w:r>
              <w:rPr>
                <w:rFonts w:ascii="Georgia" w:hAnsi="Georgia" w:cs="Arial"/>
                <w:color w:val="808080"/>
                <w:sz w:val="16"/>
              </w:rPr>
              <w:t>12/29/17</w:t>
            </w:r>
            <w:r w:rsidRPr="0074762D">
              <w:rPr>
                <w:rFonts w:ascii="Georgia" w:hAnsi="Georgia" w:cs="Arial"/>
                <w:color w:val="808080"/>
                <w:sz w:val="16"/>
              </w:rPr>
              <w:t>]</w:t>
            </w:r>
          </w:p>
          <w:p w:rsidR="00B5629E" w:rsidRPr="00B64884" w:rsidRDefault="00694929" w:rsidP="00B5629E">
            <w:pPr>
              <w:rPr>
                <w:rFonts w:ascii="Georgia" w:hAnsi="Georgia" w:cs="Arial"/>
                <w:color w:val="808080"/>
                <w:sz w:val="16"/>
              </w:rPr>
            </w:pPr>
            <w:r>
              <w:rPr>
                <w:rFonts w:ascii="Georgia" w:hAnsi="Georgia" w:cs="Arial"/>
                <w:color w:val="808080"/>
                <w:sz w:val="16"/>
              </w:rPr>
              <w:t>22 - bigcharts.m</w:t>
            </w:r>
            <w:r w:rsidRPr="00161A75">
              <w:rPr>
                <w:rFonts w:ascii="Georgia" w:hAnsi="Georgia" w:cs="Arial"/>
                <w:color w:val="808080"/>
                <w:sz w:val="16"/>
              </w:rPr>
              <w:t>arketwatch.com</w:t>
            </w:r>
            <w:r>
              <w:rPr>
                <w:rFonts w:ascii="Georgia" w:hAnsi="Georgia" w:cs="Arial"/>
                <w:color w:val="808080"/>
                <w:sz w:val="16"/>
              </w:rPr>
              <w:t>/historical/default.asp?symb=COMP</w:t>
            </w:r>
            <w:r w:rsidRPr="00161A75">
              <w:rPr>
                <w:rFonts w:ascii="Georgia" w:hAnsi="Georgia" w:cs="Arial"/>
                <w:color w:val="808080"/>
                <w:sz w:val="16"/>
              </w:rPr>
              <w:t>&amp;closeDate=</w:t>
            </w:r>
            <w:r>
              <w:rPr>
                <w:rFonts w:ascii="Georgia" w:hAnsi="Georgia" w:cs="Arial"/>
                <w:color w:val="808080"/>
                <w:sz w:val="16"/>
              </w:rPr>
              <w:t>12%2F28%</w:t>
            </w:r>
            <w:r w:rsidRPr="00161A75">
              <w:rPr>
                <w:rFonts w:ascii="Georgia" w:hAnsi="Georgia" w:cs="Arial"/>
                <w:color w:val="808080"/>
                <w:sz w:val="16"/>
              </w:rPr>
              <w:t xml:space="preserve">2F07&amp;x=0&amp;y=0 </w:t>
            </w:r>
            <w:r w:rsidRPr="0074762D">
              <w:rPr>
                <w:rFonts w:ascii="Georgia" w:hAnsi="Georgia" w:cs="Arial"/>
                <w:color w:val="808080"/>
                <w:sz w:val="16"/>
              </w:rPr>
              <w:t>[</w:t>
            </w:r>
            <w:r>
              <w:rPr>
                <w:rFonts w:ascii="Georgia" w:hAnsi="Georgia" w:cs="Arial"/>
                <w:color w:val="808080"/>
                <w:sz w:val="16"/>
              </w:rPr>
              <w:t>12/29/17</w:t>
            </w:r>
            <w:r w:rsidRPr="0074762D">
              <w:rPr>
                <w:rFonts w:ascii="Georgia" w:hAnsi="Georgia" w:cs="Arial"/>
                <w:color w:val="808080"/>
                <w:sz w:val="16"/>
              </w:rPr>
              <w:t>]</w:t>
            </w:r>
          </w:p>
          <w:p w:rsidR="00B5629E" w:rsidRDefault="00694929" w:rsidP="00B5629E">
            <w:pPr>
              <w:rPr>
                <w:rFonts w:ascii="Georgia" w:hAnsi="Georgia" w:cs="Arial"/>
                <w:color w:val="808080"/>
                <w:sz w:val="16"/>
              </w:rPr>
            </w:pPr>
            <w:r>
              <w:rPr>
                <w:rFonts w:ascii="Georgia" w:hAnsi="Georgia" w:cs="Arial"/>
                <w:color w:val="808080"/>
                <w:sz w:val="16"/>
              </w:rPr>
              <w:t>22 - bigcharts.m</w:t>
            </w:r>
            <w:r w:rsidRPr="00161A75">
              <w:rPr>
                <w:rFonts w:ascii="Georgia" w:hAnsi="Georgia" w:cs="Arial"/>
                <w:color w:val="808080"/>
                <w:sz w:val="16"/>
              </w:rPr>
              <w:t>arketwatch.com/historical/default.asp?symb=SPX&amp;closeDate=</w:t>
            </w:r>
            <w:r>
              <w:rPr>
                <w:rFonts w:ascii="Georgia" w:hAnsi="Georgia" w:cs="Arial"/>
                <w:color w:val="808080"/>
                <w:sz w:val="16"/>
              </w:rPr>
              <w:t>12%2F28%</w:t>
            </w:r>
            <w:r w:rsidRPr="00161A75">
              <w:rPr>
                <w:rFonts w:ascii="Georgia" w:hAnsi="Georgia" w:cs="Arial"/>
                <w:color w:val="808080"/>
                <w:sz w:val="16"/>
              </w:rPr>
              <w:t xml:space="preserve">2F07&amp;x=0&amp;y=0 </w:t>
            </w:r>
            <w:r>
              <w:rPr>
                <w:rFonts w:ascii="Georgia" w:hAnsi="Georgia" w:cs="Arial"/>
                <w:color w:val="808080"/>
                <w:sz w:val="16"/>
              </w:rPr>
              <w:t>[12/29/17]</w:t>
            </w:r>
          </w:p>
          <w:p w:rsidR="00B558EA" w:rsidRDefault="00694929" w:rsidP="004B5DAC">
            <w:pPr>
              <w:rPr>
                <w:rFonts w:ascii="Georgia" w:hAnsi="Georgia" w:cs="Arial"/>
                <w:color w:val="808080"/>
                <w:sz w:val="16"/>
              </w:rPr>
            </w:pPr>
            <w:r>
              <w:rPr>
                <w:rFonts w:ascii="Georgia" w:hAnsi="Georgia" w:cs="Arial"/>
                <w:color w:val="808080"/>
                <w:sz w:val="16"/>
              </w:rPr>
              <w:t>2</w:t>
            </w:r>
            <w:r>
              <w:rPr>
                <w:rFonts w:ascii="Georgia" w:hAnsi="Georgia" w:cs="Arial"/>
                <w:color w:val="808080"/>
                <w:sz w:val="16"/>
              </w:rPr>
              <w:t>3</w:t>
            </w:r>
            <w:r>
              <w:rPr>
                <w:rFonts w:ascii="Georgia" w:hAnsi="Georgia" w:cs="Arial"/>
                <w:color w:val="808080"/>
                <w:sz w:val="16"/>
              </w:rPr>
              <w:t xml:space="preserve"> - </w:t>
            </w:r>
            <w:r w:rsidRPr="006F3579">
              <w:rPr>
                <w:rFonts w:ascii="Georgia" w:hAnsi="Georgia" w:cs="Arial"/>
                <w:color w:val="808080"/>
                <w:sz w:val="16"/>
              </w:rPr>
              <w:t>treasury.gov/resource-center/data-chart-center/interest-rates/Pages/TextView.aspx?data=realyield</w:t>
            </w:r>
            <w:r w:rsidRPr="00E773E7">
              <w:rPr>
                <w:rFonts w:ascii="Georgia" w:hAnsi="Georgia" w:cs="Arial"/>
                <w:color w:val="808080"/>
                <w:sz w:val="16"/>
              </w:rPr>
              <w:t xml:space="preserve"> </w:t>
            </w:r>
            <w:r>
              <w:rPr>
                <w:rFonts w:ascii="Georgia" w:hAnsi="Georgia" w:cs="Arial"/>
                <w:color w:val="808080"/>
                <w:sz w:val="16"/>
              </w:rPr>
              <w:t>[</w:t>
            </w:r>
            <w:r>
              <w:rPr>
                <w:rFonts w:ascii="Georgia" w:hAnsi="Georgia" w:cs="Arial"/>
                <w:color w:val="808080"/>
                <w:sz w:val="16"/>
              </w:rPr>
              <w:t>12/29</w:t>
            </w:r>
            <w:r>
              <w:rPr>
                <w:rFonts w:ascii="Georgia" w:hAnsi="Georgia" w:cs="Arial"/>
                <w:color w:val="808080"/>
                <w:sz w:val="16"/>
              </w:rPr>
              <w:t>/17]</w:t>
            </w:r>
          </w:p>
          <w:p w:rsidR="00B558EA" w:rsidRDefault="00694929" w:rsidP="00B558EA">
            <w:pPr>
              <w:rPr>
                <w:rFonts w:ascii="Georgia" w:hAnsi="Georgia" w:cs="Arial"/>
                <w:color w:val="808080"/>
                <w:sz w:val="16"/>
              </w:rPr>
            </w:pPr>
            <w:r>
              <w:rPr>
                <w:rFonts w:ascii="Georgia" w:hAnsi="Georgia" w:cs="Arial"/>
                <w:color w:val="808080"/>
                <w:sz w:val="16"/>
              </w:rPr>
              <w:t>24 - treasury</w:t>
            </w:r>
            <w:r w:rsidRPr="00A8771C">
              <w:rPr>
                <w:rFonts w:ascii="Georgia" w:hAnsi="Georgia" w:cs="Arial"/>
                <w:color w:val="808080"/>
                <w:sz w:val="16"/>
              </w:rPr>
              <w:t>.gov/resource-center/data-chart-center/in</w:t>
            </w:r>
            <w:r w:rsidRPr="00A8771C">
              <w:rPr>
                <w:rFonts w:ascii="Georgia" w:hAnsi="Georgia" w:cs="Arial"/>
                <w:color w:val="808080"/>
                <w:sz w:val="16"/>
              </w:rPr>
              <w:t xml:space="preserve">terest-rates/Pages/TextView.aspx?data=realyieldAll </w:t>
            </w:r>
            <w:r>
              <w:rPr>
                <w:rFonts w:ascii="Georgia" w:hAnsi="Georgia" w:cs="Arial"/>
                <w:color w:val="808080"/>
                <w:sz w:val="16"/>
              </w:rPr>
              <w:t>[</w:t>
            </w:r>
            <w:r>
              <w:rPr>
                <w:rFonts w:ascii="Georgia" w:hAnsi="Georgia" w:cs="Arial"/>
                <w:color w:val="808080"/>
                <w:sz w:val="16"/>
              </w:rPr>
              <w:t>12/29</w:t>
            </w:r>
            <w:r>
              <w:rPr>
                <w:rFonts w:ascii="Georgia" w:hAnsi="Georgia" w:cs="Arial"/>
                <w:color w:val="808080"/>
                <w:sz w:val="16"/>
              </w:rPr>
              <w:t>/17]</w:t>
            </w:r>
          </w:p>
          <w:p w:rsidR="004A4843" w:rsidRDefault="00694929" w:rsidP="004A4843">
            <w:pPr>
              <w:rPr>
                <w:rFonts w:ascii="Georgia" w:hAnsi="Georgia" w:cs="Arial"/>
                <w:color w:val="808080"/>
                <w:sz w:val="16"/>
              </w:rPr>
            </w:pPr>
            <w:r>
              <w:rPr>
                <w:rFonts w:ascii="Georgia" w:hAnsi="Georgia" w:cs="Arial"/>
                <w:color w:val="808080"/>
                <w:sz w:val="16"/>
              </w:rPr>
              <w:t xml:space="preserve">25 - </w:t>
            </w:r>
            <w:r w:rsidRPr="002B07C7">
              <w:rPr>
                <w:rFonts w:ascii="Georgia" w:hAnsi="Georgia" w:cs="Arial"/>
                <w:color w:val="808080"/>
                <w:sz w:val="16"/>
              </w:rPr>
              <w:t xml:space="preserve">kiplinger.com/article/investing/T052-C008-S002-where-to-invest-in-2018.html </w:t>
            </w:r>
            <w:r>
              <w:rPr>
                <w:rFonts w:ascii="Georgia" w:hAnsi="Georgia" w:cs="Arial"/>
                <w:color w:val="808080"/>
                <w:sz w:val="16"/>
              </w:rPr>
              <w:t>[1/18</w:t>
            </w:r>
            <w:r>
              <w:rPr>
                <w:rFonts w:ascii="Georgia" w:hAnsi="Georgia" w:cs="Arial"/>
                <w:color w:val="808080"/>
                <w:sz w:val="16"/>
              </w:rPr>
              <w:t>]</w:t>
            </w:r>
          </w:p>
          <w:p w:rsidR="00754FF9" w:rsidRPr="0016606B" w:rsidRDefault="00694929" w:rsidP="005D4165">
            <w:pPr>
              <w:rPr>
                <w:noProof/>
              </w:rPr>
            </w:pPr>
          </w:p>
        </w:tc>
      </w:tr>
    </w:tbl>
    <w:p w:rsidR="00277AE3" w:rsidRDefault="00694929"/>
    <w:sectPr w:rsidR="00277AE3" w:rsidSect="0032653E">
      <w:footerReference w:type="default" r:id="rId6"/>
      <w:pgSz w:w="12240" w:h="15840"/>
      <w:pgMar w:top="432" w:right="1584"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929" w:rsidRDefault="00694929">
      <w:r>
        <w:separator/>
      </w:r>
    </w:p>
  </w:endnote>
  <w:endnote w:type="continuationSeparator" w:id="0">
    <w:p w:rsidR="00694929" w:rsidRDefault="0069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EDF" w:rsidRDefault="00694929">
    <w:pPr>
      <w:jc w:val="right"/>
      <w:rPr>
        <w:sz w:val="16"/>
      </w:rPr>
    </w:pPr>
    <w:r>
      <w:rPr>
        <w:sz w:val="16"/>
      </w:rPr>
      <w:t>01042018-SP-4081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929" w:rsidRDefault="00694929">
      <w:r>
        <w:separator/>
      </w:r>
    </w:p>
  </w:footnote>
  <w:footnote w:type="continuationSeparator" w:id="0">
    <w:p w:rsidR="00694929" w:rsidRDefault="00694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DF"/>
    <w:rsid w:val="0032653E"/>
    <w:rsid w:val="00694929"/>
    <w:rsid w:val="00E616B7"/>
    <w:rsid w:val="00F7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C706"/>
  <w15:docId w15:val="{2C9D4919-26AA-4295-9CB5-A9C01D98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45D8E"/>
    <w:rPr>
      <w:rFonts w:ascii="Georgia" w:hAnsi="Georgia"/>
      <w:color w:val="003300"/>
      <w:sz w:val="20"/>
    </w:rPr>
  </w:style>
  <w:style w:type="character" w:customStyle="1" w:styleId="BodyTextChar">
    <w:name w:val="Body Text Char"/>
    <w:basedOn w:val="DefaultParagraphFont"/>
    <w:link w:val="BodyText"/>
    <w:semiHidden/>
    <w:rsid w:val="00245D8E"/>
    <w:rPr>
      <w:rFonts w:ascii="Georgia" w:eastAsia="Times New Roman" w:hAnsi="Georgia" w:cs="Times New Roman"/>
      <w:color w:val="003300"/>
      <w:sz w:val="20"/>
      <w:szCs w:val="24"/>
    </w:rPr>
  </w:style>
  <w:style w:type="paragraph" w:styleId="PlainText">
    <w:name w:val="Plain Text"/>
    <w:basedOn w:val="Normal"/>
    <w:link w:val="PlainTextChar"/>
    <w:uiPriority w:val="99"/>
    <w:unhideWhenUsed/>
    <w:rsid w:val="00245D8E"/>
    <w:rPr>
      <w:rFonts w:ascii="Consolas" w:eastAsia="Calibri" w:hAnsi="Consolas" w:cs="Consolas"/>
      <w:sz w:val="21"/>
      <w:szCs w:val="21"/>
    </w:rPr>
  </w:style>
  <w:style w:type="character" w:customStyle="1" w:styleId="PlainTextChar">
    <w:name w:val="Plain Text Char"/>
    <w:basedOn w:val="DefaultParagraphFont"/>
    <w:link w:val="PlainText"/>
    <w:uiPriority w:val="99"/>
    <w:rsid w:val="00245D8E"/>
    <w:rPr>
      <w:rFonts w:ascii="Consolas" w:eastAsia="Calibri" w:hAnsi="Consolas" w:cs="Consolas"/>
      <w:sz w:val="21"/>
      <w:szCs w:val="21"/>
    </w:rPr>
  </w:style>
  <w:style w:type="character" w:customStyle="1" w:styleId="st">
    <w:name w:val="st"/>
    <w:rsid w:val="0024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Eberwein</dc:creator>
  <cp:lastModifiedBy>KC Petersen</cp:lastModifiedBy>
  <cp:revision>2</cp:revision>
  <dcterms:created xsi:type="dcterms:W3CDTF">2018-02-20T17:34:00Z</dcterms:created>
  <dcterms:modified xsi:type="dcterms:W3CDTF">2018-02-20T17:34:00Z</dcterms:modified>
</cp:coreProperties>
</file>