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5" w:type="dxa"/>
        <w:jc w:val="center"/>
        <w:tblCellSpacing w:w="0" w:type="dxa"/>
        <w:tblCellMar>
          <w:left w:w="0" w:type="dxa"/>
          <w:right w:w="0" w:type="dxa"/>
        </w:tblCellMar>
        <w:tblLook w:val="04A0" w:firstRow="1" w:lastRow="0" w:firstColumn="1" w:lastColumn="0" w:noHBand="0" w:noVBand="1"/>
      </w:tblPr>
      <w:tblGrid>
        <w:gridCol w:w="10756"/>
      </w:tblGrid>
      <w:tr w:rsidR="00E9712F" w14:paraId="5A3D1FA7" w14:textId="77777777" w:rsidTr="00E9712F">
        <w:trPr>
          <w:tblCellSpacing w:w="0" w:type="dxa"/>
          <w:jc w:val="center"/>
        </w:trPr>
        <w:tc>
          <w:tcPr>
            <w:tcW w:w="0" w:type="auto"/>
            <w:tcMar>
              <w:top w:w="300" w:type="dxa"/>
              <w:left w:w="300" w:type="dxa"/>
              <w:bottom w:w="48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40"/>
            </w:tblGrid>
            <w:tr w:rsidR="00E9712F" w14:paraId="623E8479" w14:textId="77777777">
              <w:trPr>
                <w:tblCellSpacing w:w="0" w:type="dxa"/>
              </w:trPr>
              <w:tc>
                <w:tcPr>
                  <w:tcW w:w="0" w:type="auto"/>
                  <w:tcBorders>
                    <w:top w:val="single" w:sz="2" w:space="0" w:color="D9D9D9"/>
                    <w:left w:val="single" w:sz="6" w:space="0" w:color="D9D9D9"/>
                    <w:bottom w:val="single" w:sz="6" w:space="0" w:color="D9D9D9"/>
                    <w:right w:val="single" w:sz="6" w:space="0" w:color="D9D9D9"/>
                  </w:tcBorders>
                  <w:tcMar>
                    <w:top w:w="0" w:type="dxa"/>
                    <w:left w:w="0" w:type="dxa"/>
                    <w:bottom w:w="73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0"/>
                  </w:tblGrid>
                  <w:tr w:rsidR="00E9712F" w14:paraId="48E08A73" w14:textId="77777777">
                    <w:trPr>
                      <w:tblCellSpacing w:w="0" w:type="dxa"/>
                    </w:trPr>
                    <w:tc>
                      <w:tcPr>
                        <w:tcW w:w="0" w:type="auto"/>
                        <w:tcBorders>
                          <w:top w:val="single" w:sz="48" w:space="0" w:color="166110"/>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110"/>
                        </w:tblGrid>
                        <w:tr w:rsidR="00E9712F" w14:paraId="7E6A5C43" w14:textId="77777777">
                          <w:trPr>
                            <w:tblCellSpacing w:w="0" w:type="dxa"/>
                          </w:trPr>
                          <w:tc>
                            <w:tcPr>
                              <w:tcW w:w="0" w:type="auto"/>
                              <w:tcMar>
                                <w:top w:w="0" w:type="dxa"/>
                                <w:left w:w="0" w:type="dxa"/>
                                <w:bottom w:w="255" w:type="dxa"/>
                                <w:right w:w="0" w:type="dxa"/>
                              </w:tcMar>
                              <w:vAlign w:val="center"/>
                              <w:hideMark/>
                            </w:tcPr>
                            <w:tbl>
                              <w:tblPr>
                                <w:tblW w:w="0" w:type="auto"/>
                                <w:tblCellSpacing w:w="15" w:type="dxa"/>
                                <w:tblLook w:val="04A0" w:firstRow="1" w:lastRow="0" w:firstColumn="1" w:lastColumn="0" w:noHBand="0" w:noVBand="1"/>
                              </w:tblPr>
                              <w:tblGrid>
                                <w:gridCol w:w="10110"/>
                              </w:tblGrid>
                              <w:tr w:rsidR="00E9712F" w14:paraId="47C356AF" w14:textId="77777777">
                                <w:trPr>
                                  <w:tblCellSpacing w:w="15" w:type="dxa"/>
                                </w:trPr>
                                <w:tc>
                                  <w:tcPr>
                                    <w:tcW w:w="0" w:type="auto"/>
                                    <w:tcMar>
                                      <w:top w:w="315" w:type="dxa"/>
                                      <w:left w:w="315" w:type="dxa"/>
                                      <w:bottom w:w="315" w:type="dxa"/>
                                      <w:right w:w="315" w:type="dxa"/>
                                    </w:tcMar>
                                    <w:vAlign w:val="center"/>
                                    <w:hideMark/>
                                  </w:tcPr>
                                  <w:p w14:paraId="2C4B8A94" w14:textId="2FD36D94" w:rsidR="00E9712F" w:rsidRDefault="00E9712F">
                                    <w:pPr>
                                      <w:pStyle w:val="NormalWeb"/>
                                    </w:pPr>
                                    <w:r>
                                      <w:t>Genetics play a pretty powerful role in predetermining what your overall health and longevity will be. Yet, even though you can’t choose or change your genetics there are certain preventative measures you can take in maintaining your health that can increase your quality of life and your ability to function independently longer.</w:t>
                                    </w:r>
                                  </w:p>
                                  <w:p w14:paraId="69102D33" w14:textId="77777777" w:rsidR="00E9712F" w:rsidRDefault="00E9712F">
                                    <w:pPr>
                                      <w:pStyle w:val="NormalWeb"/>
                                    </w:pPr>
                                    <w:r>
                                      <w:t xml:space="preserve">With so much important health information to manage, it’s good to know which apps are available to help you. Here are four I think you should </w:t>
                                    </w:r>
                                    <w:proofErr w:type="gramStart"/>
                                    <w:r>
                                      <w:t>look into</w:t>
                                    </w:r>
                                    <w:proofErr w:type="gramEnd"/>
                                    <w:r>
                                      <w:t xml:space="preserve"> to help you and your family members stay on top of medical needs.</w:t>
                                    </w:r>
                                  </w:p>
                                  <w:p w14:paraId="2CA2EAC6" w14:textId="77777777" w:rsidR="00E9712F" w:rsidRDefault="00E9712F" w:rsidP="006F06E2">
                                    <w:pPr>
                                      <w:numPr>
                                        <w:ilvl w:val="0"/>
                                        <w:numId w:val="1"/>
                                      </w:numPr>
                                      <w:spacing w:before="100" w:beforeAutospacing="1" w:after="240"/>
                                      <w:rPr>
                                        <w:rFonts w:eastAsia="Times New Roman"/>
                                      </w:rPr>
                                    </w:pPr>
                                    <w:r>
                                      <w:rPr>
                                        <w:rStyle w:val="Strong"/>
                                        <w:rFonts w:eastAsia="Times New Roman"/>
                                      </w:rPr>
                                      <w:t>Blood Pressure Monitor (iOS) and Blood Pressure (Android).</w:t>
                                    </w:r>
                                    <w:r>
                                      <w:rPr>
                                        <w:rFonts w:eastAsia="Times New Roman"/>
                                      </w:rPr>
                                      <w:t xml:space="preserve"> These apps help to track and record your weight, blood pressure and resting heart rate. You can email your history to your </w:t>
                                    </w:r>
                                    <w:proofErr w:type="gramStart"/>
                                    <w:r>
                                      <w:rPr>
                                        <w:rFonts w:eastAsia="Times New Roman"/>
                                      </w:rPr>
                                      <w:t>doctor, or</w:t>
                                    </w:r>
                                    <w:proofErr w:type="gramEnd"/>
                                    <w:r>
                                      <w:rPr>
                                        <w:rFonts w:eastAsia="Times New Roman"/>
                                      </w:rPr>
                                      <w:t xml:space="preserve"> print it and take it with you to your next appointment. It produces charts and graphs to help explain the highs and lows of your blood pressure, which is helpful in determining the times and situations they occur.</w:t>
                                    </w:r>
                                  </w:p>
                                  <w:p w14:paraId="01158154" w14:textId="77777777" w:rsidR="00E9712F" w:rsidRDefault="00E9712F" w:rsidP="006F06E2">
                                    <w:pPr>
                                      <w:numPr>
                                        <w:ilvl w:val="0"/>
                                        <w:numId w:val="1"/>
                                      </w:numPr>
                                      <w:spacing w:before="100" w:beforeAutospacing="1" w:after="240"/>
                                      <w:rPr>
                                        <w:rFonts w:eastAsia="Times New Roman"/>
                                      </w:rPr>
                                    </w:pPr>
                                    <w:r>
                                      <w:rPr>
                                        <w:rStyle w:val="Strong"/>
                                        <w:rFonts w:eastAsia="Times New Roman"/>
                                      </w:rPr>
                                      <w:t>My Medical (iOS, Android).</w:t>
                                    </w:r>
                                    <w:r>
                                      <w:rPr>
                                        <w:rFonts w:eastAsia="Times New Roman"/>
                                      </w:rPr>
                                      <w:t xml:space="preserve"> The more information you have available to you and your doctors about your medical history, the better the care you can receive. Instead of having only bits and pieces of your medical history scattered around as loose pieces of paper and files throughout different doctors’ offices, My Medical helps you organize everything in one secure, comprehensive digital location. And this app connects to your calendar, so you can set-up and remind yourself of past and upcoming appointments.</w:t>
                                    </w:r>
                                  </w:p>
                                  <w:p w14:paraId="310F2D5D" w14:textId="77777777" w:rsidR="00E9712F" w:rsidRDefault="00E9712F" w:rsidP="006F06E2">
                                    <w:pPr>
                                      <w:numPr>
                                        <w:ilvl w:val="0"/>
                                        <w:numId w:val="1"/>
                                      </w:numPr>
                                      <w:spacing w:before="100" w:beforeAutospacing="1" w:after="240"/>
                                      <w:rPr>
                                        <w:rFonts w:eastAsia="Times New Roman"/>
                                      </w:rPr>
                                    </w:pPr>
                                    <w:proofErr w:type="spellStart"/>
                                    <w:r>
                                      <w:rPr>
                                        <w:rStyle w:val="Strong"/>
                                        <w:rFonts w:eastAsia="Times New Roman"/>
                                      </w:rPr>
                                      <w:t>Pillboxie</w:t>
                                    </w:r>
                                    <w:proofErr w:type="spellEnd"/>
                                    <w:r>
                                      <w:rPr>
                                        <w:rStyle w:val="Strong"/>
                                        <w:rFonts w:eastAsia="Times New Roman"/>
                                      </w:rPr>
                                      <w:t xml:space="preserve"> (iOS) and My Pillbox (Android).</w:t>
                                    </w:r>
                                    <w:r>
                                      <w:rPr>
                                        <w:rFonts w:eastAsia="Times New Roman"/>
                                      </w:rPr>
                                      <w:t xml:space="preserve"> Remembering which medications and vitamins to take and when is difficult at any age, and it </w:t>
                                    </w:r>
                                    <w:proofErr w:type="gramStart"/>
                                    <w:r>
                                      <w:rPr>
                                        <w:rFonts w:eastAsia="Times New Roman"/>
                                      </w:rPr>
                                      <w:t>definitely doesn’t</w:t>
                                    </w:r>
                                    <w:proofErr w:type="gramEnd"/>
                                    <w:r>
                                      <w:rPr>
                                        <w:rFonts w:eastAsia="Times New Roman"/>
                                      </w:rPr>
                                      <w:t xml:space="preserve"> get easier as you get older. And skipping medications can lead to potential health complications. These apps allow you to input </w:t>
                                    </w:r>
                                    <w:proofErr w:type="gramStart"/>
                                    <w:r>
                                      <w:rPr>
                                        <w:rFonts w:eastAsia="Times New Roman"/>
                                      </w:rPr>
                                      <w:t>all of</w:t>
                                    </w:r>
                                    <w:proofErr w:type="gramEnd"/>
                                    <w:r>
                                      <w:rPr>
                                        <w:rFonts w:eastAsia="Times New Roman"/>
                                      </w:rPr>
                                      <w:t xml:space="preserve"> your medications and then schedule reminder alerts of which pills to take, when to take them and note what they look like.</w:t>
                                    </w:r>
                                  </w:p>
                                  <w:p w14:paraId="2E4C04F5" w14:textId="77777777" w:rsidR="00E9712F" w:rsidRDefault="00E9712F" w:rsidP="006F06E2">
                                    <w:pPr>
                                      <w:numPr>
                                        <w:ilvl w:val="0"/>
                                        <w:numId w:val="1"/>
                                      </w:numPr>
                                      <w:spacing w:before="100" w:beforeAutospacing="1" w:after="100" w:afterAutospacing="1"/>
                                      <w:rPr>
                                        <w:rFonts w:eastAsia="Times New Roman"/>
                                      </w:rPr>
                                    </w:pPr>
                                    <w:r>
                                      <w:rPr>
                                        <w:rStyle w:val="Strong"/>
                                        <w:rFonts w:eastAsia="Times New Roman"/>
                                      </w:rPr>
                                      <w:t>Stress Check Pro (iOS, Android).</w:t>
                                    </w:r>
                                    <w:r>
                                      <w:rPr>
                                        <w:rFonts w:eastAsia="Times New Roman"/>
                                      </w:rPr>
                                      <w:t xml:space="preserve"> One common cause of chronic illness is high levels of unchecked stress. One way to know if you’re stressed is by measuring and keeping track of your heart data, specifically your heart rate variability (HRV). This app keeps track of your HRV and measures your body’s reaction to a variety of stress </w:t>
                                    </w:r>
                                    <w:proofErr w:type="gramStart"/>
                                    <w:r>
                                      <w:rPr>
                                        <w:rFonts w:eastAsia="Times New Roman"/>
                                      </w:rPr>
                                      <w:t>producers</w:t>
                                    </w:r>
                                    <w:proofErr w:type="gramEnd"/>
                                    <w:r>
                                      <w:rPr>
                                        <w:rFonts w:eastAsia="Times New Roman"/>
                                      </w:rPr>
                                      <w:t xml:space="preserve"> so you can try to better manage your stress levels during certain situations.</w:t>
                                    </w:r>
                                  </w:p>
                                  <w:p w14:paraId="3C44840B" w14:textId="77777777" w:rsidR="00E9712F" w:rsidRDefault="00E9712F">
                                    <w:pPr>
                                      <w:pStyle w:val="NormalWeb"/>
                                    </w:pPr>
                                    <w:bookmarkStart w:id="0" w:name="_GoBack"/>
                                    <w:bookmarkEnd w:id="0"/>
                                    <w:r>
                                      <w:t>All the best,</w:t>
                                    </w:r>
                                  </w:p>
                                  <w:p w14:paraId="47594BF2" w14:textId="25DA2184" w:rsidR="00E9712F" w:rsidRDefault="00E9712F">
                                    <w:pPr>
                                      <w:pStyle w:val="NormalWeb"/>
                                    </w:pPr>
                                    <w:r>
                                      <w:t>From the desk of Debbie Hall</w:t>
                                    </w:r>
                                  </w:p>
                                </w:tc>
                              </w:tr>
                            </w:tbl>
                            <w:p w14:paraId="2BE15443" w14:textId="77777777" w:rsidR="00E9712F" w:rsidRDefault="00E9712F">
                              <w:pPr>
                                <w:rPr>
                                  <w:rFonts w:ascii="Times New Roman" w:eastAsia="Times New Roman" w:hAnsi="Times New Roman" w:cs="Times New Roman"/>
                                  <w:sz w:val="20"/>
                                  <w:szCs w:val="20"/>
                                </w:rPr>
                              </w:pPr>
                            </w:p>
                          </w:tc>
                        </w:tr>
                      </w:tbl>
                      <w:p w14:paraId="516272F2" w14:textId="77777777" w:rsidR="00E9712F" w:rsidRDefault="00E9712F">
                        <w:pPr>
                          <w:rPr>
                            <w:rFonts w:ascii="Times New Roman" w:eastAsia="Times New Roman" w:hAnsi="Times New Roman" w:cs="Times New Roman"/>
                            <w:sz w:val="20"/>
                            <w:szCs w:val="20"/>
                          </w:rPr>
                        </w:pPr>
                      </w:p>
                    </w:tc>
                  </w:tr>
                </w:tbl>
                <w:p w14:paraId="692C4421" w14:textId="77777777" w:rsidR="00E9712F" w:rsidRDefault="00E9712F">
                  <w:pPr>
                    <w:rPr>
                      <w:rFonts w:ascii="Times New Roman" w:eastAsia="Times New Roman" w:hAnsi="Times New Roman" w:cs="Times New Roman"/>
                      <w:sz w:val="20"/>
                      <w:szCs w:val="20"/>
                    </w:rPr>
                  </w:pPr>
                </w:p>
              </w:tc>
            </w:tr>
            <w:tr w:rsidR="00E9712F" w14:paraId="5580138C" w14:textId="77777777">
              <w:trPr>
                <w:tblCellSpacing w:w="0" w:type="dxa"/>
              </w:trPr>
              <w:tc>
                <w:tcPr>
                  <w:tcW w:w="0" w:type="auto"/>
                  <w:vAlign w:val="center"/>
                  <w:hideMark/>
                </w:tcPr>
                <w:p w14:paraId="136CF1AC" w14:textId="37A1A717" w:rsidR="00E9712F" w:rsidRDefault="00E9712F">
                  <w:pPr>
                    <w:rPr>
                      <w:rFonts w:eastAsia="Times New Roman"/>
                    </w:rPr>
                  </w:pPr>
                  <w:r>
                    <w:rPr>
                      <w:rFonts w:eastAsia="Times New Roman"/>
                      <w:noProof/>
                    </w:rPr>
                    <w:drawing>
                      <wp:inline distT="0" distB="0" distL="0" distR="0" wp14:anchorId="27BCF6E9" wp14:editId="625024D3">
                        <wp:extent cx="6430010" cy="285115"/>
                        <wp:effectExtent l="0" t="0" r="8890" b="635"/>
                        <wp:docPr id="2" name="Picture 2" descr="https://s3.amazonaws.com/static.contentres.com/email/template/shared/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email/template/shared/shad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0010" cy="285115"/>
                                </a:xfrm>
                                <a:prstGeom prst="rect">
                                  <a:avLst/>
                                </a:prstGeom>
                                <a:noFill/>
                                <a:ln>
                                  <a:noFill/>
                                </a:ln>
                              </pic:spPr>
                            </pic:pic>
                          </a:graphicData>
                        </a:graphic>
                      </wp:inline>
                    </w:drawing>
                  </w:r>
                </w:p>
              </w:tc>
            </w:tr>
          </w:tbl>
          <w:p w14:paraId="2D7AC750" w14:textId="77777777" w:rsidR="00E9712F" w:rsidRDefault="00E9712F">
            <w:pPr>
              <w:rPr>
                <w:rFonts w:ascii="Times New Roman" w:eastAsia="Times New Roman" w:hAnsi="Times New Roman" w:cs="Times New Roman"/>
                <w:sz w:val="20"/>
                <w:szCs w:val="20"/>
              </w:rPr>
            </w:pPr>
          </w:p>
        </w:tc>
      </w:tr>
      <w:tr w:rsidR="00E9712F" w14:paraId="6610D5BC" w14:textId="77777777" w:rsidTr="00E9712F">
        <w:trPr>
          <w:tblCellSpacing w:w="0" w:type="dxa"/>
          <w:jc w:val="center"/>
        </w:trPr>
        <w:tc>
          <w:tcPr>
            <w:tcW w:w="0" w:type="auto"/>
            <w:tcBorders>
              <w:top w:val="single" w:sz="48" w:space="0" w:color="166110"/>
              <w:left w:val="nil"/>
              <w:bottom w:val="nil"/>
              <w:right w:val="nil"/>
            </w:tcBorders>
            <w:tcMar>
              <w:top w:w="315" w:type="dxa"/>
              <w:left w:w="300" w:type="dxa"/>
              <w:bottom w:w="4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56"/>
            </w:tblGrid>
            <w:tr w:rsidR="00E9712F" w14:paraId="283A0F3F" w14:textId="77777777">
              <w:trPr>
                <w:tblCellSpacing w:w="0" w:type="dxa"/>
              </w:trPr>
              <w:tc>
                <w:tcPr>
                  <w:tcW w:w="0" w:type="auto"/>
                  <w:tcMar>
                    <w:top w:w="0" w:type="dxa"/>
                    <w:left w:w="0" w:type="dxa"/>
                    <w:bottom w:w="225" w:type="dxa"/>
                    <w:right w:w="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156"/>
                  </w:tblGrid>
                  <w:tr w:rsidR="00E9712F" w14:paraId="1033E96D" w14:textId="77777777">
                    <w:tc>
                      <w:tcPr>
                        <w:tcW w:w="0" w:type="auto"/>
                        <w:vAlign w:val="center"/>
                      </w:tcPr>
                      <w:tbl>
                        <w:tblPr>
                          <w:tblpPr w:vertAnchor="text"/>
                          <w:tblW w:w="2025" w:type="dxa"/>
                          <w:tblCellMar>
                            <w:left w:w="0" w:type="dxa"/>
                            <w:right w:w="0" w:type="dxa"/>
                          </w:tblCellMar>
                          <w:tblLook w:val="04A0" w:firstRow="1" w:lastRow="0" w:firstColumn="1" w:lastColumn="0" w:noHBand="0" w:noVBand="1"/>
                        </w:tblPr>
                        <w:tblGrid>
                          <w:gridCol w:w="2025"/>
                        </w:tblGrid>
                        <w:tr w:rsidR="00E9712F" w14:paraId="33F44D87" w14:textId="77777777">
                          <w:tc>
                            <w:tcPr>
                              <w:tcW w:w="0" w:type="auto"/>
                              <w:vAlign w:val="center"/>
                              <w:hideMark/>
                            </w:tcPr>
                            <w:p w14:paraId="75F43077" w14:textId="51659BC1" w:rsidR="00E9712F" w:rsidRDefault="00E9712F">
                              <w:pPr>
                                <w:rPr>
                                  <w:rFonts w:eastAsia="Times New Roman"/>
                                </w:rPr>
                              </w:pPr>
                              <w:r>
                                <w:rPr>
                                  <w:rFonts w:eastAsia="Times New Roman"/>
                                  <w:noProof/>
                                  <w:color w:val="666666"/>
                                </w:rPr>
                                <w:lastRenderedPageBreak/>
                                <w:drawing>
                                  <wp:inline distT="0" distB="0" distL="0" distR="0" wp14:anchorId="175906D6" wp14:editId="37F51CFB">
                                    <wp:extent cx="1199515" cy="716915"/>
                                    <wp:effectExtent l="0" t="0" r="635" b="6985"/>
                                    <wp:docPr id="1" name="Picture 1" descr="From the desk of Debbi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the desk of Debbie 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515" cy="716915"/>
                                            </a:xfrm>
                                            <a:prstGeom prst="rect">
                                              <a:avLst/>
                                            </a:prstGeom>
                                            <a:noFill/>
                                            <a:ln>
                                              <a:noFill/>
                                            </a:ln>
                                          </pic:spPr>
                                        </pic:pic>
                                      </a:graphicData>
                                    </a:graphic>
                                  </wp:inline>
                                </w:drawing>
                              </w:r>
                            </w:p>
                          </w:tc>
                        </w:tr>
                      </w:tbl>
                      <w:p w14:paraId="3E4EF71B" w14:textId="77777777" w:rsidR="00E9712F" w:rsidRDefault="00E9712F">
                        <w:pPr>
                          <w:rPr>
                            <w:rFonts w:eastAsia="Times New Roman"/>
                            <w:vanish/>
                          </w:rPr>
                        </w:pPr>
                      </w:p>
                      <w:tbl>
                        <w:tblPr>
                          <w:tblpPr w:vertAnchor="text"/>
                          <w:tblW w:w="4965" w:type="dxa"/>
                          <w:tblCellMar>
                            <w:left w:w="0" w:type="dxa"/>
                            <w:right w:w="0" w:type="dxa"/>
                          </w:tblCellMar>
                          <w:tblLook w:val="04A0" w:firstRow="1" w:lastRow="0" w:firstColumn="1" w:lastColumn="0" w:noHBand="0" w:noVBand="1"/>
                        </w:tblPr>
                        <w:tblGrid>
                          <w:gridCol w:w="4965"/>
                        </w:tblGrid>
                        <w:tr w:rsidR="00E9712F" w14:paraId="42FE80A6" w14:textId="77777777">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529"/>
                              </w:tblGrid>
                              <w:tr w:rsidR="00E9712F" w14:paraId="71268E8E" w14:textId="77777777">
                                <w:trPr>
                                  <w:tblCellSpacing w:w="0" w:type="dxa"/>
                                </w:trPr>
                                <w:tc>
                                  <w:tcPr>
                                    <w:tcW w:w="0" w:type="auto"/>
                                    <w:vAlign w:val="center"/>
                                    <w:hideMark/>
                                  </w:tcPr>
                                  <w:p w14:paraId="766A9016" w14:textId="77777777" w:rsidR="00E9712F" w:rsidRDefault="00E9712F">
                                    <w:pPr>
                                      <w:spacing w:line="255" w:lineRule="atLeast"/>
                                      <w:rPr>
                                        <w:rFonts w:ascii="Arial" w:eastAsia="Times New Roman" w:hAnsi="Arial" w:cs="Arial"/>
                                        <w:color w:val="666666"/>
                                        <w:sz w:val="21"/>
                                        <w:szCs w:val="21"/>
                                      </w:rPr>
                                    </w:pPr>
                                    <w:r>
                                      <w:rPr>
                                        <w:rFonts w:ascii="Arial" w:eastAsia="Times New Roman" w:hAnsi="Arial" w:cs="Arial"/>
                                        <w:color w:val="666666"/>
                                        <w:sz w:val="21"/>
                                        <w:szCs w:val="21"/>
                                      </w:rPr>
                                      <w:t>From the desk of Debbie Hall</w:t>
                                    </w:r>
                                  </w:p>
                                </w:tc>
                              </w:tr>
                              <w:tr w:rsidR="00E9712F" w14:paraId="4BB7B1FA" w14:textId="77777777">
                                <w:trPr>
                                  <w:tblCellSpacing w:w="0" w:type="dxa"/>
                                </w:trPr>
                                <w:tc>
                                  <w:tcPr>
                                    <w:tcW w:w="0" w:type="auto"/>
                                    <w:vAlign w:val="center"/>
                                    <w:hideMark/>
                                  </w:tcPr>
                                  <w:p w14:paraId="6F37D372" w14:textId="77777777" w:rsidR="00E9712F" w:rsidRDefault="00E9712F">
                                    <w:pPr>
                                      <w:spacing w:line="240" w:lineRule="atLeast"/>
                                      <w:rPr>
                                        <w:rFonts w:ascii="Arial" w:eastAsia="Times New Roman" w:hAnsi="Arial" w:cs="Arial"/>
                                        <w:color w:val="666666"/>
                                        <w:sz w:val="18"/>
                                        <w:szCs w:val="18"/>
                                      </w:rPr>
                                    </w:pPr>
                                    <w:hyperlink r:id="rId7" w:history="1">
                                      <w:r>
                                        <w:rPr>
                                          <w:rStyle w:val="Hyperlink"/>
                                          <w:rFonts w:ascii="Arial" w:eastAsia="Times New Roman" w:hAnsi="Arial" w:cs="Arial"/>
                                          <w:color w:val="2894D5"/>
                                          <w:sz w:val="18"/>
                                          <w:szCs w:val="18"/>
                                          <w:u w:val="none"/>
                                        </w:rPr>
                                        <w:t>Debbie@ls-ws.com</w:t>
                                      </w:r>
                                    </w:hyperlink>
                                    <w:r>
                                      <w:rPr>
                                        <w:rFonts w:ascii="Arial" w:eastAsia="Times New Roman" w:hAnsi="Arial" w:cs="Arial"/>
                                        <w:color w:val="666666"/>
                                        <w:sz w:val="18"/>
                                        <w:szCs w:val="18"/>
                                      </w:rPr>
                                      <w:t xml:space="preserve"> </w:t>
                                    </w:r>
                                  </w:p>
                                </w:tc>
                              </w:tr>
                              <w:tr w:rsidR="00E9712F" w14:paraId="142E6E54" w14:textId="77777777">
                                <w:trPr>
                                  <w:tblCellSpacing w:w="0" w:type="dxa"/>
                                </w:trPr>
                                <w:tc>
                                  <w:tcPr>
                                    <w:tcW w:w="0" w:type="auto"/>
                                    <w:vAlign w:val="center"/>
                                    <w:hideMark/>
                                  </w:tcPr>
                                  <w:p w14:paraId="61339D82" w14:textId="77777777" w:rsidR="00E9712F" w:rsidRDefault="00E9712F">
                                    <w:pPr>
                                      <w:spacing w:line="240" w:lineRule="atLeast"/>
                                      <w:rPr>
                                        <w:rFonts w:ascii="Arial" w:eastAsia="Times New Roman" w:hAnsi="Arial" w:cs="Arial"/>
                                        <w:color w:val="666666"/>
                                        <w:sz w:val="18"/>
                                        <w:szCs w:val="18"/>
                                      </w:rPr>
                                    </w:pPr>
                                    <w:r>
                                      <w:rPr>
                                        <w:rFonts w:ascii="Arial" w:eastAsia="Times New Roman" w:hAnsi="Arial" w:cs="Arial"/>
                                        <w:color w:val="666666"/>
                                        <w:sz w:val="18"/>
                                        <w:szCs w:val="18"/>
                                      </w:rPr>
                                      <w:t>LS Wealth Strategies LLC</w:t>
                                    </w:r>
                                  </w:p>
                                </w:tc>
                              </w:tr>
                              <w:tr w:rsidR="00E9712F" w14:paraId="670DB77E" w14:textId="77777777">
                                <w:trPr>
                                  <w:tblCellSpacing w:w="0" w:type="dxa"/>
                                </w:trPr>
                                <w:tc>
                                  <w:tcPr>
                                    <w:tcW w:w="0" w:type="auto"/>
                                    <w:vAlign w:val="center"/>
                                    <w:hideMark/>
                                  </w:tcPr>
                                  <w:p w14:paraId="544B47C8" w14:textId="77777777" w:rsidR="00E9712F" w:rsidRDefault="00E9712F">
                                    <w:pPr>
                                      <w:spacing w:line="240" w:lineRule="atLeast"/>
                                      <w:rPr>
                                        <w:rFonts w:ascii="Arial" w:eastAsia="Times New Roman" w:hAnsi="Arial" w:cs="Arial"/>
                                        <w:color w:val="666666"/>
                                        <w:sz w:val="18"/>
                                        <w:szCs w:val="18"/>
                                      </w:rPr>
                                    </w:pPr>
                                    <w:r>
                                      <w:rPr>
                                        <w:rFonts w:ascii="Arial" w:eastAsia="Times New Roman" w:hAnsi="Arial" w:cs="Arial"/>
                                        <w:color w:val="666666"/>
                                        <w:sz w:val="18"/>
                                        <w:szCs w:val="18"/>
                                      </w:rPr>
                                      <w:t>15150 Preston Rd.</w:t>
                                    </w:r>
                                    <w:r>
                                      <w:rPr>
                                        <w:rFonts w:ascii="Arial" w:eastAsia="Times New Roman" w:hAnsi="Arial" w:cs="Arial"/>
                                        <w:color w:val="666666"/>
                                        <w:sz w:val="18"/>
                                        <w:szCs w:val="18"/>
                                      </w:rPr>
                                      <w:br/>
                                      <w:t>Ste. 300</w:t>
                                    </w:r>
                                    <w:r>
                                      <w:rPr>
                                        <w:rFonts w:ascii="Arial" w:eastAsia="Times New Roman" w:hAnsi="Arial" w:cs="Arial"/>
                                        <w:color w:val="666666"/>
                                        <w:sz w:val="18"/>
                                        <w:szCs w:val="18"/>
                                      </w:rPr>
                                      <w:br/>
                                      <w:t xml:space="preserve">Dallas, TX 75248 </w:t>
                                    </w:r>
                                    <w:r>
                                      <w:rPr>
                                        <w:rFonts w:ascii="Arial" w:eastAsia="Times New Roman" w:hAnsi="Arial" w:cs="Arial"/>
                                        <w:color w:val="666666"/>
                                        <w:sz w:val="18"/>
                                        <w:szCs w:val="18"/>
                                      </w:rPr>
                                      <w:br/>
                                      <w:t xml:space="preserve">469-791-0453 | </w:t>
                                    </w:r>
                                    <w:hyperlink r:id="rId8" w:tgtFrame="_blank" w:history="1">
                                      <w:r>
                                        <w:rPr>
                                          <w:rStyle w:val="Hyperlink"/>
                                          <w:rFonts w:ascii="Arial" w:eastAsia="Times New Roman" w:hAnsi="Arial" w:cs="Arial"/>
                                          <w:color w:val="2894D5"/>
                                          <w:sz w:val="18"/>
                                          <w:szCs w:val="18"/>
                                          <w:u w:val="none"/>
                                        </w:rPr>
                                        <w:t>www.lswealthstrategies.com</w:t>
                                      </w:r>
                                    </w:hyperlink>
                                    <w:r>
                                      <w:rPr>
                                        <w:rFonts w:ascii="Arial" w:eastAsia="Times New Roman" w:hAnsi="Arial" w:cs="Arial"/>
                                        <w:color w:val="666666"/>
                                        <w:sz w:val="18"/>
                                        <w:szCs w:val="18"/>
                                      </w:rPr>
                                      <w:t xml:space="preserve"> </w:t>
                                    </w:r>
                                  </w:p>
                                </w:tc>
                              </w:tr>
                            </w:tbl>
                            <w:p w14:paraId="144555EF" w14:textId="77777777" w:rsidR="00E9712F" w:rsidRDefault="00E9712F">
                              <w:pPr>
                                <w:rPr>
                                  <w:rFonts w:ascii="Times New Roman" w:eastAsia="Times New Roman" w:hAnsi="Times New Roman" w:cs="Times New Roman"/>
                                  <w:sz w:val="20"/>
                                  <w:szCs w:val="20"/>
                                </w:rPr>
                              </w:pPr>
                            </w:p>
                          </w:tc>
                        </w:tr>
                      </w:tbl>
                      <w:p w14:paraId="389A3D71" w14:textId="77777777" w:rsidR="00E9712F" w:rsidRDefault="00E9712F">
                        <w:pPr>
                          <w:rPr>
                            <w:rFonts w:ascii="Times New Roman" w:eastAsia="Times New Roman" w:hAnsi="Times New Roman" w:cs="Times New Roman"/>
                            <w:sz w:val="20"/>
                            <w:szCs w:val="20"/>
                          </w:rPr>
                        </w:pPr>
                      </w:p>
                    </w:tc>
                  </w:tr>
                </w:tbl>
                <w:p w14:paraId="328EB81D" w14:textId="77777777" w:rsidR="00E9712F" w:rsidRDefault="00E9712F">
                  <w:pPr>
                    <w:rPr>
                      <w:rFonts w:ascii="Times New Roman" w:eastAsia="Times New Roman" w:hAnsi="Times New Roman" w:cs="Times New Roman"/>
                      <w:sz w:val="20"/>
                      <w:szCs w:val="20"/>
                    </w:rPr>
                  </w:pPr>
                </w:p>
              </w:tc>
            </w:tr>
            <w:tr w:rsidR="00E9712F" w14:paraId="7CBA160E" w14:textId="77777777">
              <w:trPr>
                <w:tblCellSpacing w:w="0" w:type="dxa"/>
              </w:trPr>
              <w:tc>
                <w:tcPr>
                  <w:tcW w:w="0" w:type="auto"/>
                  <w:tcMar>
                    <w:top w:w="0" w:type="dxa"/>
                    <w:left w:w="0" w:type="dxa"/>
                    <w:bottom w:w="180" w:type="dxa"/>
                    <w:right w:w="0" w:type="dxa"/>
                  </w:tcMar>
                  <w:vAlign w:val="center"/>
                  <w:hideMark/>
                </w:tcPr>
                <w:p w14:paraId="5667AE24" w14:textId="77777777" w:rsidR="00E9712F" w:rsidRDefault="00E9712F">
                  <w:pPr>
                    <w:pStyle w:val="NormalWeb"/>
                    <w:spacing w:line="180" w:lineRule="atLeast"/>
                    <w:rPr>
                      <w:rFonts w:ascii="Arial" w:hAnsi="Arial" w:cs="Arial"/>
                      <w:color w:val="666666"/>
                      <w:sz w:val="15"/>
                      <w:szCs w:val="15"/>
                    </w:rPr>
                  </w:pPr>
                  <w:r>
                    <w:rPr>
                      <w:rFonts w:ascii="Arial" w:hAnsi="Arial" w:cs="Arial"/>
                      <w:color w:val="666666"/>
                      <w:sz w:val="15"/>
                      <w:szCs w:val="15"/>
                    </w:rPr>
                    <w:t>Securities offered through First Allied Securities, Inc., A Registered Broker/Dealer. Member </w:t>
                  </w:r>
                  <w:hyperlink r:id="rId9" w:tooltip="FINRA" w:history="1">
                    <w:r>
                      <w:rPr>
                        <w:rStyle w:val="Hyperlink"/>
                        <w:rFonts w:ascii="Arial" w:hAnsi="Arial" w:cs="Arial"/>
                        <w:sz w:val="15"/>
                        <w:szCs w:val="15"/>
                      </w:rPr>
                      <w:t>FINRA</w:t>
                    </w:r>
                  </w:hyperlink>
                  <w:r>
                    <w:rPr>
                      <w:rFonts w:ascii="Arial" w:hAnsi="Arial" w:cs="Arial"/>
                      <w:color w:val="666666"/>
                      <w:sz w:val="15"/>
                      <w:szCs w:val="15"/>
                    </w:rPr>
                    <w:t>/</w:t>
                  </w:r>
                  <w:hyperlink r:id="rId10" w:tooltip="SIPC" w:history="1">
                    <w:r>
                      <w:rPr>
                        <w:rStyle w:val="Hyperlink"/>
                        <w:rFonts w:ascii="Arial" w:hAnsi="Arial" w:cs="Arial"/>
                        <w:sz w:val="15"/>
                        <w:szCs w:val="15"/>
                      </w:rPr>
                      <w:t>SIPC</w:t>
                    </w:r>
                  </w:hyperlink>
                  <w:r>
                    <w:rPr>
                      <w:rFonts w:ascii="Arial" w:hAnsi="Arial" w:cs="Arial"/>
                      <w:color w:val="666666"/>
                      <w:sz w:val="15"/>
                      <w:szCs w:val="15"/>
                    </w:rPr>
                    <w:t>. Advisory services offered through First Allied Advisory Services, Inc. A Registered Investment Adviser.</w:t>
                  </w:r>
                </w:p>
                <w:p w14:paraId="5AEACCA7" w14:textId="4F940189" w:rsidR="00E9712F" w:rsidRDefault="00E9712F">
                  <w:pPr>
                    <w:spacing w:line="180" w:lineRule="atLeast"/>
                    <w:rPr>
                      <w:rFonts w:ascii="Arial" w:eastAsia="Times New Roman" w:hAnsi="Arial" w:cs="Arial"/>
                      <w:color w:val="666666"/>
                      <w:sz w:val="15"/>
                      <w:szCs w:val="15"/>
                    </w:rPr>
                  </w:pPr>
                  <w:r>
                    <w:rPr>
                      <w:rFonts w:ascii="Arial" w:eastAsia="Times New Roman" w:hAnsi="Arial" w:cs="Arial"/>
                      <w:color w:val="666666"/>
                      <w:sz w:val="15"/>
                      <w:szCs w:val="15"/>
                    </w:rPr>
                    <w:t xml:space="preserve"> </w:t>
                  </w:r>
                </w:p>
              </w:tc>
            </w:tr>
          </w:tbl>
          <w:p w14:paraId="09ED0CCD" w14:textId="77777777" w:rsidR="00E9712F" w:rsidRDefault="00E9712F">
            <w:pPr>
              <w:rPr>
                <w:rFonts w:ascii="Times New Roman" w:eastAsia="Times New Roman" w:hAnsi="Times New Roman" w:cs="Times New Roman"/>
                <w:sz w:val="20"/>
                <w:szCs w:val="20"/>
              </w:rPr>
            </w:pPr>
          </w:p>
        </w:tc>
      </w:tr>
    </w:tbl>
    <w:p w14:paraId="40019B58" w14:textId="77777777" w:rsidR="00EF6442" w:rsidRDefault="00EF6442"/>
    <w:sectPr w:rsidR="00EF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0A9"/>
    <w:multiLevelType w:val="multilevel"/>
    <w:tmpl w:val="7436D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2F"/>
    <w:rsid w:val="00E9712F"/>
    <w:rsid w:val="00EF6442"/>
    <w:rsid w:val="00F2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F535"/>
  <w15:chartTrackingRefBased/>
  <w15:docId w15:val="{1B9E2B07-5E74-4A6F-A661-3491C35E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1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12F"/>
    <w:rPr>
      <w:color w:val="666666"/>
      <w:u w:val="single"/>
    </w:rPr>
  </w:style>
  <w:style w:type="paragraph" w:styleId="NormalWeb">
    <w:name w:val="Normal (Web)"/>
    <w:basedOn w:val="Normal"/>
    <w:uiPriority w:val="99"/>
    <w:semiHidden/>
    <w:unhideWhenUsed/>
    <w:rsid w:val="00E9712F"/>
    <w:pPr>
      <w:spacing w:before="100" w:beforeAutospacing="1" w:after="100" w:afterAutospacing="1"/>
    </w:pPr>
  </w:style>
  <w:style w:type="character" w:customStyle="1" w:styleId="ceteradisclosure">
    <w:name w:val="ceteradisclosure"/>
    <w:basedOn w:val="DefaultParagraphFont"/>
    <w:rsid w:val="00E9712F"/>
  </w:style>
  <w:style w:type="character" w:styleId="Strong">
    <w:name w:val="Strong"/>
    <w:basedOn w:val="DefaultParagraphFont"/>
    <w:uiPriority w:val="22"/>
    <w:qFormat/>
    <w:rsid w:val="00E97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suite.email/c/eJxNj8FqwzAQRL8mvsnsaiVFOugQDIEW2n9YKatExXaCpeLfryGXwlxmDm94t5i9C2YodWv9mxeJn9JazTxkXl5c7-vX0fkuHzdZey1VtgjZ3cQAqTMAKONNUAmsV56yL6zJG3FDjRrQg4aADrV1I46kJ7iaaSI7aTxfLycD7bd2GWXhOg-PSCiYChjEooUYSwpFozEFLCV3QOf46P11ostJX4_s-z7ObRee-6P1jbvcq7QxP5dhiz9vj-Nkbmp_r_m5ds79n0uyUogCKCALSiyiCikklR2awkkHx_QHzvxZKA" TargetMode="External"/><Relationship Id="rId3" Type="http://schemas.openxmlformats.org/officeDocument/2006/relationships/settings" Target="settings.xml"/><Relationship Id="rId7" Type="http://schemas.openxmlformats.org/officeDocument/2006/relationships/hyperlink" Target="mailto:Debbie@ls-w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mail.suite.email/c/eJxNjstqxSAUAL8m7pSjR726cHEJBFpo_-FETa6XvIiW_H4D3RRmM5thUojOes2mctb2TWsOn7nWEolFWg8q8_Z1O835I-WtlankM0C0KWtA_gAArp32fATjuMPoJlLodLasBAXSgQIvrVTGCilQ9TDovkfTK_kYnp2G-lNaFnmlsrBXSKSTSaiNJ9RjssqgtoDRm6goO8mW8Grt6PDZqeHmui5RyxHFfs7sDO-_8zu7VH5VEfeVxX1rFNu_-9HkCdEDBzTAs5GS-9GPPFqpJxqVt4S_kEFTHw" TargetMode="External"/><Relationship Id="rId4" Type="http://schemas.openxmlformats.org/officeDocument/2006/relationships/webSettings" Target="webSettings.xml"/><Relationship Id="rId9" Type="http://schemas.openxmlformats.org/officeDocument/2006/relationships/hyperlink" Target="http://email.suite.email/c/eJxNjstqxSAUAL8m7pSjR40uXFwCgRbafzgazfWSxyWx5Pcb6KYwm9kMM4XkrNes1ONs37Tm8JnPsyZiidY31Xn7up3m_DHlrdVS8xEg2SlrQN4DANdOex7BOO4wuUIKnc6W1aBAOlDgpZXKWCEFqgFGPQxoBiX78dFpOH9qyyKvVBf2DKAjASqMvaWUi0mq-N4XqciSdr1kS3i29u7w0anx5rouUep2kNiPmR3h9bd-d5eTX6dI-8rSvjVK7d9-NLkgeuCABng2UnIffeTJSl0oKm8JfwH9_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Scott</dc:creator>
  <cp:keywords/>
  <dc:description/>
  <cp:lastModifiedBy>Jessica Scott</cp:lastModifiedBy>
  <cp:revision>1</cp:revision>
  <dcterms:created xsi:type="dcterms:W3CDTF">2018-02-13T16:11:00Z</dcterms:created>
  <dcterms:modified xsi:type="dcterms:W3CDTF">2018-02-13T16:14:00Z</dcterms:modified>
</cp:coreProperties>
</file>